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framePr w:w="8291" w:h="1270" w:hRule="exact" w:wrap="around" w:x="1930" w:y="1612"/>
        <w:rPr>
          <w:color w:val="auto"/>
          <w:sz w:val="84"/>
          <w:szCs w:val="84"/>
        </w:rPr>
      </w:pPr>
      <w:r>
        <w:rPr>
          <w:rFonts w:hint="eastAsia"/>
          <w:color w:val="auto"/>
          <w:sz w:val="84"/>
          <w:szCs w:val="84"/>
        </w:rPr>
        <w:t xml:space="preserve">团体标准 </w:t>
      </w:r>
    </w:p>
    <w:p>
      <w:pPr>
        <w:pStyle w:val="58"/>
        <w:framePr w:wrap="around"/>
        <w:wordWrap w:val="0"/>
        <w:rPr>
          <w:rFonts w:hint="eastAsia" w:eastAsia="黑体"/>
          <w:color w:val="auto"/>
          <w:lang w:eastAsia="zh-CN"/>
        </w:rPr>
      </w:pPr>
      <w:r>
        <w:rPr>
          <w:color w:val="auto"/>
        </w:rPr>
        <w:t>T/FSS XX-202</w:t>
      </w:r>
      <w:r>
        <w:rPr>
          <w:rFonts w:hint="eastAsia"/>
          <w:color w:val="auto"/>
          <w:lang w:val="en-US" w:eastAsia="zh-CN"/>
        </w:rPr>
        <w:t>5</w:t>
      </w:r>
    </w:p>
    <w:tbl>
      <w:tblPr>
        <w:tblStyle w:val="19"/>
        <w:tblW w:w="9739" w:type="dxa"/>
        <w:tblInd w:w="0" w:type="dxa"/>
        <w:tblBorders>
          <w:top w:val="single" w:color="auto" w:sz="8"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39"/>
      </w:tblGrid>
      <w:tr>
        <w:tblPrEx>
          <w:tblBorders>
            <w:top w:val="single" w:color="auto" w:sz="8"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739" w:type="dxa"/>
            <w:shd w:val="clear" w:color="auto" w:fill="auto"/>
          </w:tcPr>
          <w:p>
            <w:pPr>
              <w:pStyle w:val="46"/>
              <w:framePr w:wrap="around"/>
              <w:rPr>
                <w:color w:val="auto"/>
                <w:sz w:val="10"/>
              </w:rPr>
            </w:pPr>
          </w:p>
        </w:tc>
      </w:tr>
    </w:tbl>
    <w:p>
      <w:pPr>
        <w:pStyle w:val="60"/>
        <w:framePr w:wrap="around"/>
        <w:rPr>
          <w:rFonts w:hint="eastAsia" w:eastAsia="黑体"/>
          <w:color w:val="auto"/>
          <w:lang w:eastAsia="zh-CN"/>
        </w:rPr>
      </w:pPr>
      <w:r>
        <w:rPr>
          <w:rFonts w:hint="eastAsia"/>
          <w:color w:val="auto"/>
        </w:rPr>
        <w:t xml:space="preserve">佛山标准 </w:t>
      </w:r>
      <w:r>
        <w:rPr>
          <w:color w:val="auto"/>
        </w:rPr>
        <w:t xml:space="preserve"> </w:t>
      </w:r>
      <w:r>
        <w:rPr>
          <w:rFonts w:hint="eastAsia"/>
          <w:color w:val="auto"/>
          <w:lang w:eastAsia="zh-CN"/>
        </w:rPr>
        <w:t>智能售卖机</w:t>
      </w:r>
    </w:p>
    <w:p>
      <w:pPr>
        <w:pStyle w:val="62"/>
        <w:framePr w:wrap="around"/>
        <w:rPr>
          <w:rFonts w:hint="default"/>
          <w:color w:val="auto"/>
          <w:lang w:val="en-US"/>
        </w:rPr>
      </w:pPr>
      <w:r>
        <w:rPr>
          <w:color w:val="auto"/>
        </w:rPr>
        <w:t xml:space="preserve">Foshan Standard </w:t>
      </w:r>
      <w:r>
        <w:rPr>
          <w:rFonts w:hint="eastAsia"/>
          <w:color w:val="auto"/>
        </w:rPr>
        <w:t xml:space="preserve"> </w:t>
      </w:r>
      <w:r>
        <w:rPr>
          <w:rFonts w:hint="eastAsia" w:eastAsia="黑体"/>
          <w:szCs w:val="28"/>
          <w:lang w:val="en-US" w:eastAsia="zh-CN"/>
        </w:rPr>
        <w:t>Smart v</w:t>
      </w:r>
      <w:r>
        <w:rPr>
          <w:rFonts w:hint="eastAsia" w:eastAsia="黑体"/>
          <w:szCs w:val="28"/>
        </w:rPr>
        <w:t>ending machine</w:t>
      </w:r>
    </w:p>
    <w:p>
      <w:pPr>
        <w:pStyle w:val="66"/>
        <w:framePr w:wrap="around"/>
        <w:spacing w:after="0"/>
        <w:rPr>
          <w:color w:val="auto"/>
        </w:rPr>
      </w:pPr>
      <w:r>
        <w:rPr>
          <w:color w:val="auto"/>
        </w:rPr>
        <w:t>(</w:t>
      </w:r>
      <w:r>
        <w:rPr>
          <w:rFonts w:hint="eastAsia"/>
          <w:color w:val="auto"/>
          <w:lang w:eastAsia="zh-CN"/>
        </w:rPr>
        <w:t>征求意见稿</w:t>
      </w:r>
      <w:r>
        <w:rPr>
          <w:rFonts w:hint="eastAsia"/>
          <w:color w:val="auto"/>
        </w:rPr>
        <w:t>)</w:t>
      </w:r>
      <w:bookmarkStart w:id="22" w:name="_GoBack"/>
      <w:bookmarkEnd w:id="22"/>
    </w:p>
    <w:tbl>
      <w:tblPr>
        <w:tblStyle w:val="19"/>
        <w:tblW w:w="9739" w:type="dxa"/>
        <w:tblInd w:w="0" w:type="dxa"/>
        <w:tblBorders>
          <w:top w:val="none" w:color="auto" w:sz="0"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69"/>
        <w:gridCol w:w="4870"/>
      </w:tblGrid>
      <w:tr>
        <w:tblPrEx>
          <w:tblBorders>
            <w:top w:val="none" w:color="auto" w:sz="0" w:space="0"/>
            <w:left w:val="none" w:color="auto" w:sz="0" w:space="0"/>
            <w:bottom w:val="single" w:color="auto"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exact"/>
        </w:trPr>
        <w:tc>
          <w:tcPr>
            <w:tcW w:w="4869" w:type="dxa"/>
            <w:shd w:val="clear" w:color="auto" w:fill="auto"/>
            <w:tcMar>
              <w:left w:w="57" w:type="dxa"/>
              <w:bottom w:w="28" w:type="dxa"/>
            </w:tcMar>
          </w:tcPr>
          <w:p>
            <w:pPr>
              <w:pStyle w:val="54"/>
              <w:framePr w:wrap="around"/>
              <w:rPr>
                <w:color w:val="auto"/>
              </w:rPr>
            </w:pPr>
            <w:r>
              <w:rPr>
                <w:color w:val="auto"/>
              </w:rPr>
              <w:t>202</w:t>
            </w:r>
            <w:r>
              <w:rPr>
                <w:rFonts w:hint="eastAsia"/>
                <w:color w:val="auto"/>
                <w:lang w:val="en-US" w:eastAsia="zh-CN"/>
              </w:rPr>
              <w:t>5</w:t>
            </w:r>
            <w:r>
              <w:rPr>
                <w:color w:val="auto"/>
              </w:rPr>
              <w:t xml:space="preserve">-XX- </w:t>
            </w:r>
            <w:r>
              <w:rPr>
                <w:color w:val="auto"/>
              </w:rPr>
              <w:fldChar w:fldCharType="begin">
                <w:ffData>
                  <w:name w:val="FD"/>
                  <w:enabled/>
                  <w:calcOnExit w:val="0"/>
                  <w:textInput>
                    <w:default w:val="XX"/>
                    <w:maxLength w:val="2"/>
                  </w:textInput>
                </w:ffData>
              </w:fldChar>
            </w:r>
            <w:bookmarkStart w:id="0" w:name="FD"/>
            <w:r>
              <w:rPr>
                <w:color w:val="auto"/>
              </w:rPr>
              <w:instrText xml:space="preserve"> FORMTEXT </w:instrText>
            </w:r>
            <w:r>
              <w:rPr>
                <w:color w:val="auto"/>
              </w:rPr>
              <w:fldChar w:fldCharType="separate"/>
            </w:r>
            <w:r>
              <w:rPr>
                <w:color w:val="auto"/>
              </w:rPr>
              <w:t>XX</w:t>
            </w:r>
            <w:r>
              <w:rPr>
                <w:color w:val="auto"/>
              </w:rPr>
              <w:fldChar w:fldCharType="end"/>
            </w:r>
            <w:bookmarkEnd w:id="0"/>
            <w:r>
              <w:rPr>
                <w:rFonts w:hint="eastAsia"/>
                <w:color w:val="auto"/>
              </w:rPr>
              <w:t xml:space="preserve"> 发布</w:t>
            </w:r>
          </w:p>
        </w:tc>
        <w:tc>
          <w:tcPr>
            <w:tcW w:w="4870" w:type="dxa"/>
            <w:shd w:val="clear" w:color="auto" w:fill="auto"/>
            <w:tcMar>
              <w:right w:w="57" w:type="dxa"/>
            </w:tcMar>
          </w:tcPr>
          <w:p>
            <w:pPr>
              <w:pStyle w:val="54"/>
              <w:framePr w:wrap="around"/>
              <w:jc w:val="right"/>
              <w:rPr>
                <w:color w:val="auto"/>
              </w:rPr>
            </w:pPr>
            <w:r>
              <w:rPr>
                <w:color w:val="auto"/>
              </w:rPr>
              <w:t>202</w:t>
            </w:r>
            <w:r>
              <w:rPr>
                <w:rFonts w:hint="eastAsia"/>
                <w:color w:val="auto"/>
                <w:lang w:val="en-US" w:eastAsia="zh-CN"/>
              </w:rPr>
              <w:t>5</w:t>
            </w:r>
            <w:r>
              <w:rPr>
                <w:color w:val="auto"/>
              </w:rPr>
              <w:t xml:space="preserve">-XX - </w:t>
            </w:r>
            <w:r>
              <w:rPr>
                <w:color w:val="auto"/>
              </w:rPr>
              <w:fldChar w:fldCharType="begin">
                <w:ffData>
                  <w:name w:val="SD"/>
                  <w:enabled/>
                  <w:calcOnExit w:val="0"/>
                  <w:textInput>
                    <w:default w:val="XX"/>
                    <w:maxLength w:val="2"/>
                  </w:textInput>
                </w:ffData>
              </w:fldChar>
            </w:r>
            <w:bookmarkStart w:id="1" w:name="SD"/>
            <w:r>
              <w:rPr>
                <w:color w:val="auto"/>
              </w:rPr>
              <w:instrText xml:space="preserve"> FORMTEXT </w:instrText>
            </w:r>
            <w:r>
              <w:rPr>
                <w:color w:val="auto"/>
              </w:rPr>
              <w:fldChar w:fldCharType="separate"/>
            </w:r>
            <w:r>
              <w:rPr>
                <w:color w:val="auto"/>
              </w:rPr>
              <w:t>XX</w:t>
            </w:r>
            <w:r>
              <w:rPr>
                <w:color w:val="auto"/>
              </w:rPr>
              <w:fldChar w:fldCharType="end"/>
            </w:r>
            <w:bookmarkEnd w:id="1"/>
            <w:r>
              <w:rPr>
                <w:rFonts w:hint="eastAsia"/>
                <w:color w:val="auto"/>
              </w:rPr>
              <w:t xml:space="preserve"> 实施</w:t>
            </w:r>
          </w:p>
        </w:tc>
      </w:tr>
    </w:tbl>
    <w:p>
      <w:pPr>
        <w:pStyle w:val="74"/>
        <w:framePr w:wrap="around"/>
        <w:rPr>
          <w:color w:val="auto"/>
        </w:rPr>
      </w:pPr>
      <w:r>
        <w:rPr>
          <w:rFonts w:hint="eastAsia"/>
          <w:color w:val="auto"/>
        </w:rPr>
        <w:t>佛山市佛山标准和卓越绩效管理促进会</w:t>
      </w:r>
      <w:r>
        <w:rPr>
          <w:color w:val="auto"/>
        </w:rPr>
        <w:t>  </w:t>
      </w:r>
      <w:r>
        <w:rPr>
          <w:color w:val="auto"/>
          <w:spacing w:val="85"/>
        </w:rPr>
        <w:t>发</w:t>
      </w:r>
      <w:r>
        <w:rPr>
          <w:color w:val="auto"/>
        </w:rPr>
        <w:t>布</w:t>
      </w:r>
    </w:p>
    <w:tbl>
      <w:tblPr>
        <w:tblStyle w:val="19"/>
        <w:tblW w:w="9355" w:type="dxa"/>
        <w:tblInd w:w="0" w:type="dxa"/>
        <w:tblLayout w:type="fixed"/>
        <w:tblCellMar>
          <w:top w:w="0" w:type="dxa"/>
          <w:left w:w="0" w:type="dxa"/>
          <w:bottom w:w="0" w:type="dxa"/>
          <w:right w:w="0" w:type="dxa"/>
        </w:tblCellMar>
      </w:tblPr>
      <w:tblGrid>
        <w:gridCol w:w="1560"/>
        <w:gridCol w:w="7795"/>
      </w:tblGrid>
      <w:tr>
        <w:tblPrEx>
          <w:tblCellMar>
            <w:top w:w="0" w:type="dxa"/>
            <w:left w:w="0" w:type="dxa"/>
            <w:bottom w:w="0" w:type="dxa"/>
            <w:right w:w="0" w:type="dxa"/>
          </w:tblCellMar>
        </w:tblPrEx>
        <w:tc>
          <w:tcPr>
            <w:tcW w:w="1560" w:type="dxa"/>
            <w:shd w:val="clear" w:color="auto" w:fill="auto"/>
          </w:tcPr>
          <w:p>
            <w:pPr>
              <w:pStyle w:val="82"/>
              <w:framePr w:wrap="around"/>
              <w:rPr>
                <w:color w:val="auto"/>
              </w:rPr>
            </w:pPr>
            <w:r>
              <w:rPr>
                <w:color w:val="auto"/>
              </w:rPr>
              <w:t xml:space="preserve">ICS </w:t>
            </w:r>
            <w:r>
              <w:rPr>
                <w:rFonts w:hint="eastAsia"/>
                <w:color w:val="auto"/>
                <w:lang w:val="en-US" w:eastAsia="zh-CN"/>
              </w:rPr>
              <w:t>67</w:t>
            </w:r>
            <w:r>
              <w:rPr>
                <w:color w:val="auto"/>
              </w:rPr>
              <w:t>.</w:t>
            </w:r>
            <w:r>
              <w:rPr>
                <w:rFonts w:hint="eastAsia"/>
                <w:color w:val="auto"/>
                <w:lang w:val="en-US" w:eastAsia="zh-CN"/>
              </w:rPr>
              <w:t>04</w:t>
            </w:r>
            <w:r>
              <w:rPr>
                <w:color w:val="auto"/>
              </w:rPr>
              <w:t>0</w:t>
            </w:r>
          </w:p>
        </w:tc>
        <w:tc>
          <w:tcPr>
            <w:tcW w:w="7795" w:type="dxa"/>
            <w:shd w:val="clear" w:color="auto" w:fill="auto"/>
          </w:tcPr>
          <w:p>
            <w:pPr>
              <w:pStyle w:val="82"/>
              <w:framePr w:wrap="around"/>
              <w:rPr>
                <w:color w:val="auto"/>
              </w:rPr>
            </w:pPr>
          </w:p>
        </w:tc>
      </w:tr>
      <w:tr>
        <w:tblPrEx>
          <w:tblCellMar>
            <w:top w:w="0" w:type="dxa"/>
            <w:left w:w="0" w:type="dxa"/>
            <w:bottom w:w="0" w:type="dxa"/>
            <w:right w:w="0" w:type="dxa"/>
          </w:tblCellMar>
        </w:tblPrEx>
        <w:tc>
          <w:tcPr>
            <w:tcW w:w="1560" w:type="dxa"/>
            <w:shd w:val="clear" w:color="auto" w:fill="auto"/>
          </w:tcPr>
          <w:p>
            <w:pPr>
              <w:pStyle w:val="82"/>
              <w:framePr w:wrap="around"/>
              <w:rPr>
                <w:rFonts w:hint="default" w:eastAsia="黑体"/>
                <w:color w:val="auto"/>
                <w:lang w:val="en-US" w:eastAsia="zh-CN"/>
              </w:rPr>
            </w:pPr>
            <w:r>
              <w:rPr>
                <w:color w:val="auto"/>
              </w:rPr>
              <w:t xml:space="preserve">CCS </w:t>
            </w:r>
            <w:r>
              <w:rPr>
                <w:rFonts w:hint="eastAsia"/>
                <w:color w:val="auto"/>
                <w:lang w:val="en-US" w:eastAsia="zh-CN"/>
              </w:rPr>
              <w:t>X</w:t>
            </w:r>
            <w:r>
              <w:rPr>
                <w:color w:val="auto"/>
              </w:rPr>
              <w:t xml:space="preserve"> </w:t>
            </w:r>
            <w:r>
              <w:rPr>
                <w:rFonts w:hint="eastAsia"/>
                <w:color w:val="auto"/>
                <w:lang w:val="en-US" w:eastAsia="zh-CN"/>
              </w:rPr>
              <w:t>10</w:t>
            </w:r>
          </w:p>
        </w:tc>
        <w:tc>
          <w:tcPr>
            <w:tcW w:w="7795" w:type="dxa"/>
            <w:shd w:val="clear" w:color="auto" w:fill="auto"/>
          </w:tcPr>
          <w:p>
            <w:pPr>
              <w:pStyle w:val="82"/>
              <w:framePr w:wrap="around"/>
              <w:rPr>
                <w:color w:val="auto"/>
              </w:rPr>
            </w:pPr>
          </w:p>
          <w:tbl>
            <w:tblPr>
              <w:tblStyle w:val="19"/>
              <w:tblpPr w:vertAnchor="page" w:horzAnchor="margin" w:tblpXSpec="right" w:tblpY="114"/>
              <w:tblW w:w="6661" w:type="dxa"/>
              <w:tblInd w:w="0" w:type="dxa"/>
              <w:tblLayout w:type="fixed"/>
              <w:tblCellMar>
                <w:top w:w="0" w:type="dxa"/>
                <w:left w:w="0" w:type="dxa"/>
                <w:bottom w:w="0" w:type="dxa"/>
                <w:right w:w="0" w:type="dxa"/>
              </w:tblCellMar>
            </w:tblPr>
            <w:tblGrid>
              <w:gridCol w:w="6661"/>
            </w:tblGrid>
            <w:tr>
              <w:tblPrEx>
                <w:tblCellMar>
                  <w:top w:w="0" w:type="dxa"/>
                  <w:left w:w="0" w:type="dxa"/>
                  <w:bottom w:w="0" w:type="dxa"/>
                  <w:right w:w="0" w:type="dxa"/>
                </w:tblCellMar>
              </w:tblPrEx>
              <w:trPr>
                <w:trHeight w:val="1281" w:hRule="atLeast"/>
              </w:trPr>
              <w:tc>
                <w:tcPr>
                  <w:tcW w:w="6661" w:type="dxa"/>
                  <w:shd w:val="clear" w:color="auto" w:fill="auto"/>
                  <w:vAlign w:val="center"/>
                </w:tcPr>
                <w:p>
                  <w:pPr>
                    <w:pStyle w:val="82"/>
                    <w:framePr w:wrap="around"/>
                    <w:jc w:val="right"/>
                    <w:rPr>
                      <w:rFonts w:ascii="Times New Roman" w:eastAsia="宋体"/>
                      <w:b/>
                      <w:color w:val="auto"/>
                      <w:w w:val="130"/>
                      <w:kern w:val="0"/>
                    </w:rPr>
                  </w:pPr>
                </w:p>
              </w:tc>
            </w:tr>
          </w:tbl>
          <w:p>
            <w:pPr>
              <w:pStyle w:val="82"/>
              <w:framePr w:wrap="around"/>
              <w:rPr>
                <w:color w:val="auto"/>
              </w:rPr>
            </w:pPr>
          </w:p>
        </w:tc>
      </w:tr>
    </w:tbl>
    <w:p>
      <w:pPr>
        <w:pStyle w:val="82"/>
        <w:framePr w:wrap="around"/>
        <w:rPr>
          <w:color w:val="auto"/>
        </w:rPr>
        <w:sectPr>
          <w:headerReference r:id="rId3" w:type="default"/>
          <w:pgSz w:w="11906" w:h="16838"/>
          <w:pgMar w:top="-340" w:right="1134" w:bottom="1020" w:left="1134" w:header="0" w:footer="0" w:gutter="283"/>
          <w:pgNumType w:start="1"/>
          <w:cols w:space="425" w:num="1"/>
          <w:docGrid w:type="lines" w:linePitch="312" w:charSpace="0"/>
        </w:sectPr>
      </w:pPr>
    </w:p>
    <w:p>
      <w:pPr>
        <w:pStyle w:val="86"/>
        <w:spacing w:after="468"/>
        <w:rPr>
          <w:color w:val="auto"/>
        </w:rPr>
      </w:pPr>
      <w:r>
        <w:rPr>
          <w:rFonts w:hint="eastAsia"/>
          <w:color w:val="auto"/>
          <w:spacing w:val="317"/>
        </w:rPr>
        <w:t>前</w:t>
      </w:r>
      <w:bookmarkStart w:id="2" w:name="BKQY"/>
      <w:r>
        <w:rPr>
          <w:rFonts w:hint="eastAsia"/>
          <w:color w:val="auto"/>
        </w:rPr>
        <w:t>言</w:t>
      </w:r>
    </w:p>
    <w:p>
      <w:pPr>
        <w:pStyle w:val="26"/>
        <w:ind w:firstLine="420"/>
        <w:rPr>
          <w:color w:val="auto"/>
        </w:rPr>
      </w:pPr>
      <w:r>
        <w:rPr>
          <w:rFonts w:hint="eastAsia"/>
          <w:color w:val="auto"/>
        </w:rPr>
        <w:t>本文件按照GB/T 1.1</w:t>
      </w:r>
      <w:r>
        <w:rPr>
          <w:rFonts w:hint="eastAsia"/>
          <w:color w:val="auto"/>
          <w:lang w:eastAsia="zh-CN"/>
        </w:rPr>
        <w:t>—</w:t>
      </w:r>
      <w:r>
        <w:rPr>
          <w:rFonts w:hint="eastAsia"/>
          <w:color w:val="auto"/>
        </w:rPr>
        <w:t>2020《标准化工作导则  第1部分：标准化文件的结构和起草规则》的规定起草。</w:t>
      </w:r>
    </w:p>
    <w:p>
      <w:pPr>
        <w:pStyle w:val="26"/>
        <w:ind w:firstLine="420"/>
        <w:rPr>
          <w:color w:val="auto"/>
        </w:rPr>
      </w:pPr>
      <w:r>
        <w:rPr>
          <w:rFonts w:hint="eastAsia"/>
          <w:color w:val="auto"/>
        </w:rPr>
        <w:t>请注意本文件的某些内容可能涉及专利，本文件的发布机构不承担识别专利的责任。</w:t>
      </w:r>
    </w:p>
    <w:p>
      <w:pPr>
        <w:pStyle w:val="26"/>
        <w:ind w:firstLine="420"/>
        <w:rPr>
          <w:color w:val="auto"/>
        </w:rPr>
      </w:pPr>
      <w:r>
        <w:rPr>
          <w:rFonts w:hint="eastAsia"/>
          <w:color w:val="auto"/>
        </w:rPr>
        <w:t>本文件由佛山市佛山标准和卓越绩效管理促进会提出并归口。</w:t>
      </w:r>
    </w:p>
    <w:p>
      <w:pPr>
        <w:pStyle w:val="26"/>
        <w:ind w:firstLine="420"/>
        <w:rPr>
          <w:rFonts w:hint="eastAsia"/>
          <w:color w:val="auto"/>
          <w:lang w:eastAsia="zh-CN"/>
        </w:rPr>
      </w:pPr>
      <w:r>
        <w:rPr>
          <w:rFonts w:hint="eastAsia"/>
          <w:color w:val="auto"/>
        </w:rPr>
        <w:t>本文件起草单位：</w:t>
      </w:r>
    </w:p>
    <w:p>
      <w:pPr>
        <w:pStyle w:val="26"/>
        <w:ind w:firstLine="420"/>
        <w:rPr>
          <w:rFonts w:hint="eastAsia" w:eastAsia="宋体"/>
          <w:color w:val="auto"/>
          <w:lang w:val="en-US" w:eastAsia="zh-CN"/>
        </w:rPr>
      </w:pPr>
      <w:r>
        <w:rPr>
          <w:rFonts w:hint="eastAsia"/>
          <w:color w:val="auto"/>
        </w:rPr>
        <w:t>本文件主要起草人：</w:t>
      </w:r>
      <w:bookmarkEnd w:id="2"/>
      <w:r>
        <w:rPr>
          <w:rFonts w:hint="eastAsia"/>
          <w:color w:val="auto"/>
          <w:lang w:val="en-US" w:eastAsia="zh-CN"/>
        </w:rPr>
        <w:t>。</w:t>
      </w:r>
    </w:p>
    <w:p>
      <w:pPr>
        <w:widowControl/>
        <w:jc w:val="left"/>
        <w:rPr>
          <w:color w:val="auto"/>
        </w:rPr>
      </w:pPr>
      <w:r>
        <w:rPr>
          <w:color w:val="auto"/>
        </w:rPr>
        <w:br w:type="page"/>
      </w:r>
    </w:p>
    <w:p>
      <w:pPr>
        <w:pStyle w:val="86"/>
        <w:spacing w:after="468"/>
        <w:rPr>
          <w:color w:val="auto"/>
        </w:rPr>
      </w:pPr>
      <w:r>
        <w:rPr>
          <w:rFonts w:hint="eastAsia"/>
          <w:color w:val="auto"/>
          <w:spacing w:val="317"/>
        </w:rPr>
        <w:t>引</w:t>
      </w:r>
      <w:bookmarkStart w:id="3" w:name="BKYY"/>
      <w:r>
        <w:rPr>
          <w:rFonts w:hint="eastAsia"/>
          <w:color w:val="auto"/>
        </w:rPr>
        <w:t>言</w:t>
      </w:r>
    </w:p>
    <w:p>
      <w:pPr>
        <w:pStyle w:val="26"/>
        <w:ind w:firstLine="420"/>
        <w:rPr>
          <w:color w:val="auto"/>
        </w:rPr>
      </w:pPr>
      <w:r>
        <w:rPr>
          <w:rFonts w:hint="eastAsia"/>
          <w:color w:val="auto"/>
        </w:rPr>
        <w:t>佛山标准是佛山市为推动制造业高质量发展，打造的系列先进标准。</w:t>
      </w:r>
    </w:p>
    <w:p>
      <w:pPr>
        <w:pStyle w:val="26"/>
        <w:ind w:firstLine="420"/>
        <w:rPr>
          <w:color w:val="auto"/>
        </w:rPr>
      </w:pPr>
      <w:r>
        <w:rPr>
          <w:rFonts w:hint="eastAsia"/>
          <w:color w:val="auto"/>
        </w:rPr>
        <w:t>佛山标准倡导“标准决定质量，只有高标准才有高质量”的理念，坚持“国内领先、国际先进”定位，聚焦佛山制造业重点产业优势，对标国内国际先进标准，围绕消费升级方向，提升标准和质量水平，增加优质供给，以高标准打造中国制造品质高地，满足人民日益增长的美好生活需要。</w:t>
      </w:r>
      <w:bookmarkEnd w:id="3"/>
    </w:p>
    <w:p>
      <w:pPr>
        <w:rPr>
          <w:color w:val="auto"/>
        </w:rPr>
        <w:sectPr>
          <w:headerReference r:id="rId4" w:type="default"/>
          <w:footerReference r:id="rId5" w:type="default"/>
          <w:pgSz w:w="11906" w:h="16838"/>
          <w:pgMar w:top="2409" w:right="1134" w:bottom="1134" w:left="1134" w:header="1417" w:footer="1134" w:gutter="283"/>
          <w:pgNumType w:fmt="upperRoman" w:start="1"/>
          <w:cols w:space="425" w:num="1"/>
          <w:docGrid w:type="lines" w:linePitch="312" w:charSpace="0"/>
        </w:sectPr>
      </w:pPr>
    </w:p>
    <w:sdt>
      <w:sdtPr>
        <w:rPr>
          <w:rStyle w:val="89"/>
          <w:rFonts w:hint="eastAsia"/>
          <w:color w:val="auto"/>
        </w:rPr>
        <w:tag w:val="StandardName"/>
        <w:id w:val="-1788579198"/>
        <w:lock w:val="sdtLocked"/>
        <w:placeholder>
          <w:docPart w:val="DefaultPlaceholder_-1854013440"/>
        </w:placeholder>
      </w:sdtPr>
      <w:sdtEndPr>
        <w:rPr>
          <w:rStyle w:val="89"/>
          <w:rFonts w:hint="eastAsia"/>
          <w:color w:val="auto"/>
        </w:rPr>
      </w:sdtEndPr>
      <w:sdtContent>
        <w:p>
          <w:pPr>
            <w:pStyle w:val="88"/>
            <w:rPr>
              <w:rStyle w:val="89"/>
              <w:color w:val="auto"/>
            </w:rPr>
          </w:pPr>
          <w:bookmarkStart w:id="4" w:name="StandardName"/>
          <w:r>
            <w:rPr>
              <w:rStyle w:val="89"/>
              <w:rFonts w:hint="eastAsia"/>
              <w:color w:val="auto"/>
            </w:rPr>
            <w:t xml:space="preserve">佛山标准 </w:t>
          </w:r>
          <w:bookmarkEnd w:id="4"/>
          <w:r>
            <w:rPr>
              <w:rStyle w:val="89"/>
              <w:rFonts w:hint="eastAsia"/>
              <w:color w:val="auto"/>
              <w:lang w:eastAsia="zh-CN"/>
            </w:rPr>
            <w:t>智能售卖机</w:t>
          </w:r>
          <w:r>
            <w:rPr>
              <w:rStyle w:val="89"/>
              <w:rFonts w:hint="eastAsia"/>
              <w:color w:val="auto"/>
            </w:rPr>
            <w:t xml:space="preserve"> </w:t>
          </w:r>
        </w:p>
      </w:sdtContent>
    </w:sdt>
    <w:p>
      <w:pPr>
        <w:pStyle w:val="120"/>
        <w:spacing w:before="312" w:after="312"/>
        <w:rPr>
          <w:color w:val="auto"/>
        </w:rPr>
      </w:pPr>
      <w:r>
        <w:rPr>
          <w:rFonts w:hint="eastAsia"/>
          <w:color w:val="auto"/>
        </w:rPr>
        <w:t>范围</w:t>
      </w:r>
    </w:p>
    <w:p>
      <w:pPr>
        <w:pStyle w:val="240"/>
      </w:pPr>
      <w:bookmarkStart w:id="5" w:name="OLE_LINK6"/>
      <w:r>
        <w:rPr>
          <w:rFonts w:hint="eastAsia"/>
        </w:rPr>
        <w:t>本文件规定了</w:t>
      </w:r>
      <w:r>
        <w:rPr>
          <w:rFonts w:hint="eastAsia"/>
          <w:lang w:eastAsia="zh-CN"/>
        </w:rPr>
        <w:t>智能</w:t>
      </w:r>
      <w:r>
        <w:rPr>
          <w:rFonts w:hint="eastAsia"/>
        </w:rPr>
        <w:t>售卖机（以下简称售卖机）的基本参数</w:t>
      </w:r>
      <w:r>
        <w:rPr>
          <w:rFonts w:hint="eastAsia"/>
          <w:lang w:eastAsia="zh-CN"/>
        </w:rPr>
        <w:t>和正常</w:t>
      </w:r>
      <w:r>
        <w:rPr>
          <w:rFonts w:hint="eastAsia"/>
        </w:rPr>
        <w:t>工作条件、要求、试验方法、检验规则、标志、使用信息、包装、运输</w:t>
      </w:r>
      <w:r>
        <w:rPr>
          <w:rFonts w:hint="eastAsia"/>
          <w:lang w:eastAsia="zh-CN"/>
        </w:rPr>
        <w:t>和</w:t>
      </w:r>
      <w:r>
        <w:rPr>
          <w:rFonts w:hint="eastAsia"/>
        </w:rPr>
        <w:t>贮存。</w:t>
      </w:r>
    </w:p>
    <w:p>
      <w:pPr>
        <w:pStyle w:val="240"/>
        <w:rPr>
          <w:rFonts w:hint="eastAsia"/>
          <w:color w:val="auto"/>
          <w:spacing w:val="0"/>
        </w:rPr>
      </w:pPr>
      <w:r>
        <w:rPr>
          <w:rFonts w:hint="eastAsia"/>
        </w:rPr>
        <w:t>本文件适用于</w:t>
      </w:r>
      <w:r>
        <w:rPr>
          <w:rFonts w:hint="eastAsia"/>
          <w:lang w:eastAsia="zh-CN"/>
        </w:rPr>
        <w:t>智能</w:t>
      </w:r>
      <w:r>
        <w:rPr>
          <w:rFonts w:hint="eastAsia"/>
        </w:rPr>
        <w:t>售卖机的</w:t>
      </w:r>
      <w:r>
        <w:rPr>
          <w:rFonts w:hint="eastAsia"/>
          <w:lang w:eastAsia="zh-CN"/>
        </w:rPr>
        <w:t>设计、</w:t>
      </w:r>
      <w:r>
        <w:rPr>
          <w:rFonts w:hint="eastAsia"/>
        </w:rPr>
        <w:t>制造、检验</w:t>
      </w:r>
      <w:r>
        <w:rPr>
          <w:rFonts w:hint="eastAsia"/>
          <w:lang w:eastAsia="zh-CN"/>
        </w:rPr>
        <w:t>、使用等</w:t>
      </w:r>
      <w:bookmarkEnd w:id="5"/>
      <w:r>
        <w:rPr>
          <w:rFonts w:hint="eastAsia"/>
          <w:lang w:eastAsia="zh-CN"/>
        </w:rPr>
        <w:t>。</w:t>
      </w:r>
    </w:p>
    <w:p>
      <w:pPr>
        <w:pStyle w:val="120"/>
        <w:spacing w:before="312" w:after="312"/>
        <w:rPr>
          <w:color w:val="auto"/>
          <w:spacing w:val="0"/>
        </w:rPr>
      </w:pPr>
      <w:r>
        <w:rPr>
          <w:rFonts w:hint="eastAsia"/>
          <w:color w:val="auto"/>
          <w:spacing w:val="0"/>
        </w:rPr>
        <w:t>规范性引用文件</w:t>
      </w:r>
    </w:p>
    <w:sdt>
      <w:sdtPr>
        <w:rPr>
          <w:color w:val="auto"/>
          <w:spacing w:val="0"/>
        </w:rPr>
        <w:tag w:val="StandNameFile"/>
        <w:id w:val="-1821031262"/>
        <w:placeholder>
          <w:docPart w:val="{ced0ed0e-d091-4f6d-acf0-bf437d82c533}"/>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color w:val="auto"/>
          <w:spacing w:val="0"/>
        </w:rPr>
      </w:sdtEndPr>
      <w:sdtContent>
        <w:p>
          <w:pPr>
            <w:pStyle w:val="26"/>
            <w:ind w:firstLine="420"/>
            <w:rPr>
              <w:color w:val="auto"/>
              <w:spacing w:val="0"/>
            </w:rPr>
          </w:pPr>
          <w:r>
            <w:rPr>
              <w:color w:val="auto"/>
              <w:spacing w:val="0"/>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40"/>
        <w:rPr>
          <w:rFonts w:hint="eastAsia" w:ascii="宋体" w:hAnsi="Times New Roman" w:eastAsia="宋体" w:cs="Times New Roman"/>
        </w:rPr>
      </w:pPr>
      <w:bookmarkStart w:id="6" w:name="OLE_LINK5"/>
      <w:r>
        <w:rPr>
          <w:rFonts w:hint="eastAsia" w:ascii="宋体" w:hAnsi="Times New Roman" w:eastAsia="宋体" w:cs="Times New Roman"/>
        </w:rPr>
        <w:t>GB/T 191 包装储运图示标志</w:t>
      </w:r>
    </w:p>
    <w:p>
      <w:pPr>
        <w:pStyle w:val="240"/>
        <w:rPr>
          <w:rFonts w:hint="eastAsia" w:ascii="宋体" w:hAnsi="Times New Roman" w:eastAsia="宋体" w:cs="Times New Roman"/>
        </w:rPr>
      </w:pPr>
      <w:bookmarkStart w:id="7" w:name="OLE_LINK2"/>
      <w:r>
        <w:rPr>
          <w:rFonts w:hint="eastAsia" w:ascii="宋体" w:hAnsi="Times New Roman" w:eastAsia="宋体" w:cs="Times New Roman"/>
        </w:rPr>
        <w:t>GB/T 2423.1 电工电子产品环境试验 第2部分</w:t>
      </w:r>
      <w:r>
        <w:rPr>
          <w:rFonts w:hint="eastAsia" w:cs="Times New Roman"/>
          <w:lang w:eastAsia="zh-CN"/>
        </w:rPr>
        <w:t>：</w:t>
      </w:r>
      <w:r>
        <w:rPr>
          <w:rFonts w:hint="eastAsia" w:ascii="宋体" w:hAnsi="Times New Roman" w:eastAsia="宋体" w:cs="Times New Roman"/>
        </w:rPr>
        <w:t>试验方法 试验A</w:t>
      </w:r>
      <w:r>
        <w:rPr>
          <w:rFonts w:hint="eastAsia" w:cs="Times New Roman"/>
          <w:lang w:eastAsia="zh-CN"/>
        </w:rPr>
        <w:t>：</w:t>
      </w:r>
      <w:r>
        <w:rPr>
          <w:rFonts w:hint="eastAsia" w:ascii="宋体" w:hAnsi="Times New Roman" w:eastAsia="宋体" w:cs="Times New Roman"/>
        </w:rPr>
        <w:t>低温</w:t>
      </w:r>
    </w:p>
    <w:p>
      <w:pPr>
        <w:pStyle w:val="240"/>
        <w:rPr>
          <w:rFonts w:hint="eastAsia" w:ascii="宋体" w:hAnsi="Times New Roman" w:eastAsia="宋体" w:cs="Times New Roman"/>
        </w:rPr>
      </w:pPr>
      <w:r>
        <w:rPr>
          <w:rFonts w:hint="eastAsia" w:ascii="宋体" w:hAnsi="Times New Roman" w:eastAsia="宋体" w:cs="Times New Roman"/>
        </w:rPr>
        <w:t>GB/T 2423.2 电工电子产品环境试验 第2部分</w:t>
      </w:r>
      <w:r>
        <w:rPr>
          <w:rFonts w:hint="eastAsia" w:cs="Times New Roman"/>
          <w:lang w:eastAsia="zh-CN"/>
        </w:rPr>
        <w:t>：</w:t>
      </w:r>
      <w:r>
        <w:rPr>
          <w:rFonts w:hint="eastAsia" w:ascii="宋体" w:hAnsi="Times New Roman" w:eastAsia="宋体" w:cs="Times New Roman"/>
        </w:rPr>
        <w:t>试验方法 试验B</w:t>
      </w:r>
      <w:r>
        <w:rPr>
          <w:rFonts w:hint="eastAsia" w:cs="Times New Roman"/>
          <w:lang w:eastAsia="zh-CN"/>
        </w:rPr>
        <w:t>：</w:t>
      </w:r>
      <w:r>
        <w:rPr>
          <w:rFonts w:hint="eastAsia" w:ascii="宋体" w:hAnsi="Times New Roman" w:eastAsia="宋体" w:cs="Times New Roman"/>
        </w:rPr>
        <w:t>高温</w:t>
      </w:r>
    </w:p>
    <w:p>
      <w:pPr>
        <w:pStyle w:val="240"/>
        <w:rPr>
          <w:rFonts w:hint="eastAsia" w:ascii="宋体" w:hAnsi="Times New Roman" w:eastAsia="宋体" w:cs="Times New Roman"/>
        </w:rPr>
      </w:pPr>
      <w:r>
        <w:rPr>
          <w:rFonts w:hint="eastAsia" w:ascii="宋体" w:hAnsi="Times New Roman" w:eastAsia="宋体" w:cs="Times New Roman"/>
        </w:rPr>
        <w:t>GB/T 2423.3 环境试验 第2部分</w:t>
      </w:r>
      <w:r>
        <w:rPr>
          <w:rFonts w:hint="eastAsia" w:cs="Times New Roman"/>
          <w:lang w:eastAsia="zh-CN"/>
        </w:rPr>
        <w:t>：</w:t>
      </w:r>
      <w:r>
        <w:rPr>
          <w:rFonts w:hint="eastAsia" w:ascii="宋体" w:hAnsi="Times New Roman" w:eastAsia="宋体" w:cs="Times New Roman"/>
        </w:rPr>
        <w:t>试验方法 试验Cab</w:t>
      </w:r>
      <w:r>
        <w:rPr>
          <w:rFonts w:hint="eastAsia" w:cs="Times New Roman"/>
          <w:lang w:eastAsia="zh-CN"/>
        </w:rPr>
        <w:t>：</w:t>
      </w:r>
      <w:r>
        <w:rPr>
          <w:rFonts w:hint="eastAsia" w:ascii="宋体" w:hAnsi="Times New Roman" w:eastAsia="宋体" w:cs="Times New Roman"/>
        </w:rPr>
        <w:t>恒定湿热试验</w:t>
      </w:r>
      <w:bookmarkEnd w:id="7"/>
    </w:p>
    <w:p>
      <w:pPr>
        <w:pStyle w:val="240"/>
        <w:rPr>
          <w:rFonts w:hint="eastAsia" w:ascii="宋体" w:hAnsi="Times New Roman" w:eastAsia="宋体" w:cs="Times New Roman"/>
        </w:rPr>
      </w:pPr>
      <w:r>
        <w:rPr>
          <w:rFonts w:hint="eastAsia" w:ascii="宋体" w:hAnsi="Times New Roman" w:eastAsia="宋体" w:cs="Times New Roman"/>
        </w:rPr>
        <w:t>GB/T 4208—2017 外壳防护等级（IP代码)</w:t>
      </w:r>
    </w:p>
    <w:p>
      <w:pPr>
        <w:pStyle w:val="240"/>
        <w:rPr>
          <w:rFonts w:hint="eastAsia" w:ascii="宋体" w:hAnsi="Times New Roman" w:eastAsia="宋体" w:cs="Times New Roman"/>
        </w:rPr>
      </w:pPr>
      <w:r>
        <w:rPr>
          <w:rFonts w:hint="eastAsia" w:ascii="宋体" w:hAnsi="Times New Roman" w:eastAsia="宋体" w:cs="Times New Roman"/>
        </w:rPr>
        <w:t>GB 4343.1 家用电器、电动工具和类似器具的电磁兼容要求  第l部分：发射</w:t>
      </w:r>
    </w:p>
    <w:p>
      <w:pPr>
        <w:pStyle w:val="240"/>
        <w:rPr>
          <w:rFonts w:hint="eastAsia" w:ascii="宋体" w:hAnsi="Times New Roman" w:eastAsia="宋体" w:cs="Times New Roman"/>
        </w:rPr>
      </w:pPr>
      <w:r>
        <w:rPr>
          <w:rFonts w:hint="eastAsia" w:ascii="宋体" w:hAnsi="Times New Roman" w:eastAsia="宋体" w:cs="Times New Roman"/>
        </w:rPr>
        <w:t>GB/T 4343.2 家用电器、电动工具和类似器具的电磁兼容要求 第2部分：抗扰度</w:t>
      </w:r>
    </w:p>
    <w:p>
      <w:pPr>
        <w:pStyle w:val="240"/>
        <w:rPr>
          <w:rFonts w:hint="eastAsia" w:ascii="宋体" w:hAnsi="Times New Roman" w:eastAsia="宋体" w:cs="Times New Roman"/>
        </w:rPr>
      </w:pPr>
      <w:r>
        <w:rPr>
          <w:rFonts w:hint="eastAsia" w:ascii="宋体" w:hAnsi="Times New Roman" w:eastAsia="宋体" w:cs="Times New Roman"/>
        </w:rPr>
        <w:t>GB</w:t>
      </w:r>
      <w:r>
        <w:rPr>
          <w:rFonts w:hint="eastAsia" w:cs="Times New Roman"/>
          <w:lang w:val="en-US" w:eastAsia="zh-CN"/>
        </w:rPr>
        <w:t>/T</w:t>
      </w:r>
      <w:r>
        <w:rPr>
          <w:rFonts w:hint="eastAsia" w:ascii="宋体" w:hAnsi="Times New Roman" w:eastAsia="宋体" w:cs="Times New Roman"/>
        </w:rPr>
        <w:t xml:space="preserve"> 4706.1 家用和类似用途电器的安全 第1部分</w:t>
      </w:r>
      <w:r>
        <w:rPr>
          <w:rFonts w:hint="eastAsia" w:cs="Times New Roman"/>
          <w:lang w:eastAsia="zh-CN"/>
        </w:rPr>
        <w:t>：</w:t>
      </w:r>
      <w:r>
        <w:rPr>
          <w:rFonts w:hint="eastAsia" w:ascii="宋体" w:hAnsi="Times New Roman" w:eastAsia="宋体" w:cs="Times New Roman"/>
        </w:rPr>
        <w:t>通用要求</w:t>
      </w:r>
    </w:p>
    <w:p>
      <w:pPr>
        <w:pStyle w:val="240"/>
        <w:rPr>
          <w:rFonts w:hint="eastAsia" w:ascii="宋体" w:hAnsi="Times New Roman" w:eastAsia="宋体" w:cs="Times New Roman"/>
        </w:rPr>
      </w:pPr>
      <w:r>
        <w:rPr>
          <w:rFonts w:hint="eastAsia" w:ascii="宋体" w:hAnsi="Times New Roman" w:eastAsia="宋体" w:cs="Times New Roman"/>
        </w:rPr>
        <w:t>GB</w:t>
      </w:r>
      <w:r>
        <w:rPr>
          <w:rFonts w:hint="eastAsia" w:cs="Times New Roman"/>
          <w:lang w:val="en-US" w:eastAsia="zh-CN"/>
        </w:rPr>
        <w:t>/T</w:t>
      </w:r>
      <w:r>
        <w:rPr>
          <w:rFonts w:hint="eastAsia" w:ascii="宋体" w:hAnsi="Times New Roman" w:eastAsia="宋体" w:cs="Times New Roman"/>
        </w:rPr>
        <w:t xml:space="preserve"> 4706.72 家用和类似用途电器的安全 商用售卖机的特殊要求</w:t>
      </w:r>
    </w:p>
    <w:p>
      <w:pPr>
        <w:pStyle w:val="240"/>
        <w:rPr>
          <w:rFonts w:hint="eastAsia" w:ascii="宋体" w:hAnsi="Times New Roman" w:eastAsia="宋体" w:cs="Times New Roman"/>
        </w:rPr>
      </w:pPr>
      <w:r>
        <w:rPr>
          <w:rFonts w:hint="eastAsia" w:ascii="宋体" w:hAnsi="Times New Roman" w:eastAsia="宋体" w:cs="Times New Roman"/>
        </w:rPr>
        <w:t>GB/T 6388 运输包装收发货标志</w:t>
      </w:r>
    </w:p>
    <w:p>
      <w:pPr>
        <w:pStyle w:val="240"/>
        <w:rPr>
          <w:rFonts w:hint="eastAsia" w:ascii="宋体" w:hAnsi="Times New Roman" w:eastAsia="宋体" w:cs="Times New Roman"/>
        </w:rPr>
      </w:pPr>
      <w:r>
        <w:rPr>
          <w:rFonts w:hint="eastAsia" w:ascii="宋体" w:hAnsi="Times New Roman" w:eastAsia="宋体" w:cs="Times New Roman"/>
        </w:rPr>
        <w:t>GB/T 6461—2002 金属基体上金属和其它无机覆盖层经腐蚀试验后的试样和试件的评级</w:t>
      </w:r>
    </w:p>
    <w:p>
      <w:pPr>
        <w:pStyle w:val="240"/>
        <w:rPr>
          <w:rFonts w:hint="eastAsia" w:ascii="宋体" w:hAnsi="Times New Roman" w:eastAsia="宋体" w:cs="Times New Roman"/>
        </w:rPr>
      </w:pPr>
      <w:r>
        <w:rPr>
          <w:rFonts w:hint="eastAsia" w:ascii="宋体" w:hAnsi="Times New Roman" w:eastAsia="宋体" w:cs="Times New Roman"/>
        </w:rPr>
        <w:t>GB/T 10125 人造气氛腐蚀试验盐雾试验</w:t>
      </w:r>
    </w:p>
    <w:p>
      <w:pPr>
        <w:pStyle w:val="240"/>
        <w:rPr>
          <w:rFonts w:hint="eastAsia" w:ascii="宋体" w:hAnsi="Times New Roman" w:eastAsia="宋体" w:cs="Times New Roman"/>
        </w:rPr>
      </w:pPr>
      <w:r>
        <w:rPr>
          <w:rFonts w:hint="eastAsia" w:ascii="宋体" w:hAnsi="Times New Roman" w:eastAsia="宋体" w:cs="Times New Roman"/>
        </w:rPr>
        <w:t>GB/T 13306 标牌</w:t>
      </w:r>
    </w:p>
    <w:p>
      <w:pPr>
        <w:pStyle w:val="240"/>
        <w:rPr>
          <w:rFonts w:hint="eastAsia" w:ascii="宋体" w:hAnsi="Times New Roman" w:eastAsia="宋体" w:cs="Times New Roman"/>
        </w:rPr>
      </w:pPr>
      <w:r>
        <w:rPr>
          <w:rFonts w:hint="eastAsia" w:ascii="宋体" w:hAnsi="Times New Roman" w:eastAsia="宋体" w:cs="Times New Roman"/>
        </w:rPr>
        <w:t>GB/T 13384 机电产品包装通用技术条件</w:t>
      </w:r>
    </w:p>
    <w:p>
      <w:pPr>
        <w:pStyle w:val="240"/>
        <w:rPr>
          <w:rFonts w:hint="eastAsia" w:ascii="宋体" w:hAnsi="Times New Roman" w:eastAsia="宋体" w:cs="Times New Roman"/>
        </w:rPr>
      </w:pPr>
      <w:r>
        <w:rPr>
          <w:rFonts w:hint="eastAsia" w:ascii="宋体" w:hAnsi="Times New Roman" w:eastAsia="宋体" w:cs="Times New Roman"/>
        </w:rPr>
        <w:t>GB 16798</w:t>
      </w:r>
      <w:r>
        <w:rPr>
          <w:rFonts w:hint="eastAsia" w:cs="Times New Roman"/>
          <w:lang w:val="en-US" w:eastAsia="zh-CN"/>
        </w:rPr>
        <w:t xml:space="preserve"> </w:t>
      </w:r>
      <w:r>
        <w:rPr>
          <w:rFonts w:hint="eastAsia" w:ascii="宋体" w:hAnsi="Times New Roman" w:eastAsia="宋体" w:cs="Times New Roman"/>
        </w:rPr>
        <w:t>食品机械安全卫生</w:t>
      </w:r>
    </w:p>
    <w:p>
      <w:pPr>
        <w:pStyle w:val="240"/>
        <w:rPr>
          <w:rFonts w:hint="eastAsia" w:ascii="宋体" w:hAnsi="Times New Roman" w:eastAsia="宋体" w:cs="Times New Roman"/>
        </w:rPr>
      </w:pPr>
      <w:r>
        <w:rPr>
          <w:rFonts w:hint="eastAsia" w:ascii="宋体" w:hAnsi="Times New Roman" w:eastAsia="宋体" w:cs="Times New Roman"/>
        </w:rPr>
        <w:t>GB 17625.1 电磁兼容 限值 谐波电流发射限值(设备每相输入电流≤16A)</w:t>
      </w:r>
    </w:p>
    <w:p>
      <w:pPr>
        <w:pStyle w:val="240"/>
        <w:rPr>
          <w:rFonts w:hint="eastAsia" w:ascii="宋体" w:hAnsi="Times New Roman" w:eastAsia="宋体" w:cs="Times New Roman"/>
        </w:rPr>
      </w:pPr>
      <w:r>
        <w:rPr>
          <w:rFonts w:hint="eastAsia" w:ascii="宋体" w:hAnsi="Times New Roman" w:eastAsia="宋体" w:cs="Times New Roman"/>
        </w:rPr>
        <w:t>GB/T 19891</w:t>
      </w:r>
      <w:r>
        <w:rPr>
          <w:rFonts w:hint="eastAsia" w:cs="Times New Roman"/>
          <w:lang w:val="en-US" w:eastAsia="zh-CN"/>
        </w:rPr>
        <w:t xml:space="preserve"> </w:t>
      </w:r>
      <w:r>
        <w:rPr>
          <w:rFonts w:hint="eastAsia" w:ascii="宋体" w:hAnsi="Times New Roman" w:eastAsia="宋体" w:cs="Times New Roman"/>
        </w:rPr>
        <w:t>机械安全</w:t>
      </w:r>
      <w:r>
        <w:rPr>
          <w:rFonts w:hint="eastAsia" w:cs="Times New Roman"/>
          <w:lang w:val="en-US" w:eastAsia="zh-CN"/>
        </w:rPr>
        <w:t xml:space="preserve"> </w:t>
      </w:r>
      <w:r>
        <w:rPr>
          <w:rFonts w:hint="eastAsia" w:ascii="宋体" w:hAnsi="Times New Roman" w:eastAsia="宋体" w:cs="Times New Roman"/>
        </w:rPr>
        <w:t>机械设计的卫生要求</w:t>
      </w:r>
    </w:p>
    <w:p>
      <w:pPr>
        <w:pStyle w:val="240"/>
        <w:rPr>
          <w:rFonts w:hint="eastAsia" w:ascii="宋体" w:hAnsi="Times New Roman" w:eastAsia="宋体" w:cs="Times New Roman"/>
        </w:rPr>
      </w:pPr>
      <w:r>
        <w:rPr>
          <w:rFonts w:hint="eastAsia" w:ascii="宋体" w:hAnsi="Times New Roman" w:eastAsia="宋体" w:cs="Times New Roman"/>
        </w:rPr>
        <w:t>GB/T 21001.2—2015 制冷陈列柜 第2部分</w:t>
      </w:r>
      <w:r>
        <w:rPr>
          <w:rFonts w:hint="eastAsia" w:cs="Times New Roman"/>
          <w:lang w:eastAsia="zh-CN"/>
        </w:rPr>
        <w:t>：</w:t>
      </w:r>
      <w:r>
        <w:rPr>
          <w:rFonts w:hint="eastAsia" w:ascii="宋体" w:hAnsi="Times New Roman" w:eastAsia="宋体" w:cs="Times New Roman"/>
        </w:rPr>
        <w:t>分类、要求和试验条件</w:t>
      </w:r>
    </w:p>
    <w:p>
      <w:pPr>
        <w:pStyle w:val="240"/>
        <w:rPr>
          <w:rFonts w:hint="eastAsia" w:ascii="宋体" w:hAnsi="Times New Roman" w:eastAsia="宋体" w:cs="Times New Roman"/>
        </w:rPr>
      </w:pPr>
      <w:r>
        <w:rPr>
          <w:rFonts w:hint="eastAsia" w:ascii="宋体" w:hAnsi="Times New Roman" w:eastAsia="宋体" w:cs="Times New Roman"/>
        </w:rPr>
        <w:t>GB/T 26125 电子电气产品 六种限用物质（铅、汞、镉、六价铬、多溴联苯和多溴二苯醚）的测定</w:t>
      </w:r>
    </w:p>
    <w:p>
      <w:pPr>
        <w:pStyle w:val="240"/>
        <w:rPr>
          <w:rFonts w:hint="eastAsia"/>
        </w:rPr>
      </w:pPr>
      <w:r>
        <w:rPr>
          <w:rFonts w:hint="eastAsia" w:ascii="宋体" w:hAnsi="Times New Roman" w:eastAsia="宋体" w:cs="Times New Roman"/>
        </w:rPr>
        <w:t>GB/T 26572 电子电气产品中限用</w:t>
      </w:r>
      <w:r>
        <w:rPr>
          <w:rFonts w:cs="Times New Roman"/>
          <w:color w:val="auto"/>
          <w:szCs w:val="21"/>
        </w:rPr>
        <w:t>物质的限量要求</w:t>
      </w:r>
    </w:p>
    <w:p>
      <w:pPr>
        <w:pStyle w:val="240"/>
      </w:pPr>
      <w:r>
        <w:rPr>
          <w:rFonts w:hint="eastAsia"/>
        </w:rPr>
        <w:t>GB 26920.3—2019 商用制冷器具能效限定值和能效等级 第3部分</w:t>
      </w:r>
      <w:r>
        <w:rPr>
          <w:rFonts w:hint="eastAsia" w:cs="Times New Roman"/>
          <w:lang w:eastAsia="zh-CN"/>
        </w:rPr>
        <w:t>：</w:t>
      </w:r>
      <w:r>
        <w:rPr>
          <w:rFonts w:hint="eastAsia"/>
        </w:rPr>
        <w:t>制冷自动售货机</w:t>
      </w:r>
    </w:p>
    <w:p>
      <w:pPr>
        <w:pStyle w:val="240"/>
      </w:pPr>
      <w:r>
        <w:rPr>
          <w:rFonts w:hint="eastAsia"/>
        </w:rPr>
        <w:t>GB/T 28493—2012 瓶装、罐装和其它封装饮料自动售货机性能试验方法</w:t>
      </w:r>
    </w:p>
    <w:p>
      <w:pPr>
        <w:pStyle w:val="240"/>
      </w:pPr>
      <w:r>
        <w:rPr>
          <w:rFonts w:hint="eastAsia"/>
        </w:rPr>
        <w:t>QB/T 5366—2019 商用微波炉</w:t>
      </w:r>
    </w:p>
    <w:p>
      <w:pPr>
        <w:pStyle w:val="26"/>
        <w:ind w:firstLine="420"/>
        <w:rPr>
          <w:rFonts w:hint="eastAsia"/>
          <w:color w:val="auto"/>
          <w:spacing w:val="0"/>
        </w:rPr>
      </w:pPr>
      <w:r>
        <w:rPr>
          <w:rFonts w:hint="eastAsia"/>
        </w:rPr>
        <w:t>QB/T 5663—2021 自动售卖机</w:t>
      </w:r>
      <w:bookmarkEnd w:id="6"/>
    </w:p>
    <w:p>
      <w:pPr>
        <w:pStyle w:val="120"/>
        <w:spacing w:before="312" w:after="312"/>
        <w:rPr>
          <w:color w:val="auto"/>
          <w:spacing w:val="0"/>
        </w:rPr>
      </w:pPr>
      <w:bookmarkStart w:id="8" w:name="_Toc97195093"/>
      <w:bookmarkStart w:id="9" w:name="_Hlk130722279"/>
      <w:r>
        <w:rPr>
          <w:rFonts w:hint="eastAsia"/>
          <w:color w:val="auto"/>
          <w:spacing w:val="0"/>
          <w:szCs w:val="21"/>
        </w:rPr>
        <w:t>术语和定义</w:t>
      </w:r>
      <w:bookmarkEnd w:id="8"/>
    </w:p>
    <w:sdt>
      <w:sdtPr>
        <w:rPr>
          <w:rFonts w:hint="eastAsia"/>
          <w:color w:val="auto"/>
          <w:spacing w:val="0"/>
        </w:rPr>
        <w:id w:val="-1909835108"/>
        <w:placeholder>
          <w:docPart w:val="{f54aae95-16ef-49a3-8ead-eea41edd0ec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color w:val="auto"/>
          <w:spacing w:val="0"/>
        </w:rPr>
      </w:sdtEndPr>
      <w:sdtContent>
        <w:p>
          <w:pPr>
            <w:pStyle w:val="26"/>
            <w:ind w:firstLine="420"/>
            <w:rPr>
              <w:color w:val="auto"/>
              <w:spacing w:val="0"/>
            </w:rPr>
          </w:pPr>
          <w:bookmarkStart w:id="10" w:name="_Toc26986532"/>
          <w:bookmarkEnd w:id="10"/>
          <w:r>
            <w:rPr>
              <w:rFonts w:hint="eastAsia"/>
              <w:color w:val="000000" w:themeColor="text1"/>
              <w14:textFill>
                <w14:solidFill>
                  <w14:schemeClr w14:val="tx1"/>
                </w14:solidFill>
              </w14:textFill>
            </w:rPr>
            <w:t>QB/T 5663—2021</w:t>
          </w:r>
          <w:r>
            <w:rPr>
              <w:rFonts w:hint="eastAsia"/>
              <w:color w:val="auto"/>
              <w:spacing w:val="0"/>
            </w:rPr>
            <w:t>界定的以及下列术语和定义适用于本文件。</w:t>
          </w:r>
        </w:p>
      </w:sdtContent>
    </w:sdt>
    <w:p>
      <w:pPr>
        <w:pStyle w:val="120"/>
        <w:spacing w:before="240" w:after="240"/>
      </w:pPr>
      <w:r>
        <w:rPr>
          <w:rFonts w:hint="eastAsia"/>
        </w:rPr>
        <w:t>基本参数</w:t>
      </w:r>
      <w:r>
        <w:rPr>
          <w:rFonts w:hint="eastAsia"/>
          <w:lang w:eastAsia="zh-CN"/>
        </w:rPr>
        <w:t>和正常</w:t>
      </w:r>
      <w:r>
        <w:rPr>
          <w:rFonts w:hint="eastAsia"/>
        </w:rPr>
        <w:t>工作条件</w:t>
      </w:r>
    </w:p>
    <w:p>
      <w:pPr>
        <w:pStyle w:val="122"/>
        <w:spacing w:before="120" w:after="120"/>
      </w:pPr>
      <w:r>
        <w:rPr>
          <w:rFonts w:hint="eastAsia"/>
        </w:rPr>
        <w:t>基本参数</w:t>
      </w:r>
    </w:p>
    <w:p>
      <w:pPr>
        <w:pStyle w:val="26"/>
        <w:rPr>
          <w:rFonts w:hint="eastAsia"/>
          <w:lang w:eastAsia="zh-CN"/>
        </w:rPr>
      </w:pPr>
      <w:r>
        <w:rPr>
          <w:rFonts w:hint="eastAsia"/>
        </w:rPr>
        <w:t>售卖机基本参数的名称和单位</w:t>
      </w:r>
      <w:r>
        <w:rPr>
          <w:rFonts w:hint="eastAsia"/>
          <w:lang w:eastAsia="zh-CN"/>
        </w:rPr>
        <w:t>如下：</w:t>
      </w:r>
    </w:p>
    <w:p>
      <w:pPr>
        <w:pStyle w:val="249"/>
        <w:keepNext w:val="0"/>
        <w:keepLines w:val="0"/>
        <w:pageBreakBefore w:val="0"/>
        <w:widowControl/>
        <w:numPr>
          <w:ilvl w:val="0"/>
          <w:numId w:val="26"/>
        </w:numPr>
        <w:kinsoku/>
        <w:wordWrap/>
        <w:overflowPunct/>
        <w:topLinePunct w:val="0"/>
        <w:autoSpaceDE/>
        <w:autoSpaceDN/>
        <w:bidi w:val="0"/>
        <w:adjustRightInd/>
        <w:snapToGrid/>
        <w:ind w:left="839" w:hanging="420"/>
        <w:jc w:val="left"/>
        <w:textAlignment w:val="auto"/>
        <w:rPr>
          <w:rFonts w:hint="eastAsia"/>
        </w:rPr>
      </w:pPr>
      <w:r>
        <w:rPr>
          <w:rFonts w:hint="eastAsia"/>
        </w:rPr>
        <w:t>货室容积</w:t>
      </w:r>
      <w:r>
        <w:rPr>
          <w:rFonts w:hint="eastAsia"/>
          <w:lang w:eastAsia="zh-CN"/>
        </w:rPr>
        <w:t>：</w:t>
      </w:r>
      <w:r>
        <w:rPr>
          <w:rFonts w:hint="eastAsia"/>
        </w:rPr>
        <w:t>m</w:t>
      </w:r>
      <w:r>
        <w:rPr>
          <w:rFonts w:hint="eastAsia"/>
          <w:vertAlign w:val="superscript"/>
          <w:lang w:val="en-US" w:eastAsia="zh-CN"/>
        </w:rPr>
        <w:t>3</w:t>
      </w:r>
      <w:r>
        <w:rPr>
          <w:rFonts w:hint="eastAsia"/>
          <w:lang w:val="en-US" w:eastAsia="zh-CN"/>
        </w:rPr>
        <w:t>；</w:t>
      </w:r>
    </w:p>
    <w:p>
      <w:pPr>
        <w:pStyle w:val="249"/>
        <w:keepNext w:val="0"/>
        <w:keepLines w:val="0"/>
        <w:pageBreakBefore w:val="0"/>
        <w:widowControl/>
        <w:numPr>
          <w:ilvl w:val="0"/>
          <w:numId w:val="26"/>
        </w:numPr>
        <w:kinsoku/>
        <w:wordWrap/>
        <w:overflowPunct/>
        <w:topLinePunct w:val="0"/>
        <w:autoSpaceDE/>
        <w:autoSpaceDN/>
        <w:bidi w:val="0"/>
        <w:adjustRightInd/>
        <w:snapToGrid/>
        <w:ind w:left="839" w:hanging="420"/>
        <w:jc w:val="left"/>
        <w:textAlignment w:val="auto"/>
        <w:rPr>
          <w:rFonts w:hint="eastAsia"/>
        </w:rPr>
      </w:pPr>
      <w:r>
        <w:rPr>
          <w:rFonts w:hint="eastAsia"/>
        </w:rPr>
        <w:t>额定电压</w:t>
      </w:r>
      <w:r>
        <w:rPr>
          <w:rFonts w:hint="default"/>
          <w:lang w:val="en-US"/>
        </w:rPr>
        <w:t>/</w:t>
      </w:r>
      <w:r>
        <w:rPr>
          <w:rFonts w:hint="eastAsia"/>
        </w:rPr>
        <w:t>额定频率</w:t>
      </w:r>
      <w:r>
        <w:rPr>
          <w:rFonts w:hint="eastAsia"/>
          <w:lang w:eastAsia="zh-CN"/>
        </w:rPr>
        <w:t>：</w:t>
      </w:r>
      <w:r>
        <w:rPr>
          <w:rFonts w:hint="eastAsia"/>
        </w:rPr>
        <w:t>V</w:t>
      </w:r>
      <w:r>
        <w:rPr>
          <w:rFonts w:hint="default"/>
          <w:lang w:val="en-US"/>
        </w:rPr>
        <w:t>/</w:t>
      </w:r>
      <w:r>
        <w:rPr>
          <w:rFonts w:hint="eastAsia"/>
        </w:rPr>
        <w:t>Hz</w:t>
      </w:r>
      <w:r>
        <w:rPr>
          <w:rFonts w:hint="eastAsia"/>
          <w:lang w:eastAsia="zh-CN"/>
        </w:rPr>
        <w:t>；</w:t>
      </w:r>
    </w:p>
    <w:p>
      <w:pPr>
        <w:pStyle w:val="249"/>
        <w:keepNext w:val="0"/>
        <w:keepLines w:val="0"/>
        <w:pageBreakBefore w:val="0"/>
        <w:widowControl/>
        <w:numPr>
          <w:ilvl w:val="0"/>
          <w:numId w:val="26"/>
        </w:numPr>
        <w:kinsoku/>
        <w:wordWrap/>
        <w:overflowPunct/>
        <w:topLinePunct w:val="0"/>
        <w:autoSpaceDE/>
        <w:autoSpaceDN/>
        <w:bidi w:val="0"/>
        <w:adjustRightInd/>
        <w:snapToGrid/>
        <w:ind w:left="839" w:hanging="420"/>
        <w:jc w:val="left"/>
        <w:textAlignment w:val="auto"/>
        <w:rPr>
          <w:rFonts w:hint="eastAsia"/>
        </w:rPr>
      </w:pPr>
      <w:r>
        <w:rPr>
          <w:rFonts w:hint="eastAsia"/>
        </w:rPr>
        <w:t>微波加热功率</w:t>
      </w:r>
      <w:r>
        <w:rPr>
          <w:rFonts w:hint="eastAsia"/>
          <w:lang w:eastAsia="zh-CN"/>
        </w:rPr>
        <w:t>：</w:t>
      </w:r>
      <w:r>
        <w:rPr>
          <w:rFonts w:hint="eastAsia"/>
        </w:rPr>
        <w:t>kW</w:t>
      </w:r>
      <w:r>
        <w:rPr>
          <w:rFonts w:hint="eastAsia"/>
          <w:lang w:eastAsia="zh-CN"/>
        </w:rPr>
        <w:t>；</w:t>
      </w:r>
    </w:p>
    <w:p>
      <w:pPr>
        <w:pStyle w:val="249"/>
        <w:keepNext w:val="0"/>
        <w:keepLines w:val="0"/>
        <w:pageBreakBefore w:val="0"/>
        <w:widowControl/>
        <w:numPr>
          <w:ilvl w:val="0"/>
          <w:numId w:val="26"/>
        </w:numPr>
        <w:kinsoku/>
        <w:wordWrap/>
        <w:overflowPunct/>
        <w:topLinePunct w:val="0"/>
        <w:autoSpaceDE/>
        <w:autoSpaceDN/>
        <w:bidi w:val="0"/>
        <w:adjustRightInd/>
        <w:snapToGrid/>
        <w:ind w:left="839" w:hanging="420"/>
        <w:jc w:val="left"/>
        <w:textAlignment w:val="auto"/>
        <w:rPr>
          <w:rFonts w:hint="eastAsia"/>
        </w:rPr>
      </w:pPr>
      <w:r>
        <w:rPr>
          <w:rFonts w:hint="eastAsia"/>
        </w:rPr>
        <w:t>冷藏功率</w:t>
      </w:r>
      <w:r>
        <w:rPr>
          <w:rFonts w:hint="eastAsia"/>
          <w:lang w:eastAsia="zh-CN"/>
        </w:rPr>
        <w:t>：</w:t>
      </w:r>
      <w:r>
        <w:rPr>
          <w:rFonts w:hint="eastAsia"/>
        </w:rPr>
        <w:t>k</w:t>
      </w:r>
      <w:r>
        <w:rPr>
          <w:rFonts w:hint="eastAsia"/>
          <w:lang w:val="en-US" w:eastAsia="zh-CN"/>
        </w:rPr>
        <w:t>W</w:t>
      </w:r>
      <w:r>
        <w:rPr>
          <w:rFonts w:hint="eastAsia"/>
          <w:lang w:eastAsia="zh-CN"/>
        </w:rPr>
        <w:t>；</w:t>
      </w:r>
    </w:p>
    <w:p>
      <w:pPr>
        <w:pStyle w:val="249"/>
        <w:keepNext w:val="0"/>
        <w:keepLines w:val="0"/>
        <w:pageBreakBefore w:val="0"/>
        <w:widowControl/>
        <w:numPr>
          <w:ilvl w:val="0"/>
          <w:numId w:val="26"/>
        </w:numPr>
        <w:kinsoku/>
        <w:wordWrap/>
        <w:overflowPunct/>
        <w:topLinePunct w:val="0"/>
        <w:autoSpaceDE/>
        <w:autoSpaceDN/>
        <w:bidi w:val="0"/>
        <w:adjustRightInd/>
        <w:snapToGrid/>
        <w:ind w:left="839" w:hanging="420"/>
        <w:jc w:val="left"/>
        <w:textAlignment w:val="auto"/>
        <w:rPr>
          <w:rFonts w:hint="eastAsia"/>
        </w:rPr>
      </w:pPr>
      <w:r>
        <w:rPr>
          <w:rFonts w:hint="eastAsia"/>
        </w:rPr>
        <w:t>冷藏温度</w:t>
      </w:r>
      <w:r>
        <w:rPr>
          <w:rFonts w:hint="eastAsia"/>
          <w:lang w:eastAsia="zh-CN"/>
        </w:rPr>
        <w:t>：</w:t>
      </w:r>
      <w:r>
        <w:rPr>
          <w:rFonts w:hint="eastAsia"/>
        </w:rPr>
        <w:t>℃</w:t>
      </w:r>
      <w:r>
        <w:rPr>
          <w:rFonts w:hint="eastAsia"/>
          <w:lang w:eastAsia="zh-CN"/>
        </w:rPr>
        <w:t>；</w:t>
      </w:r>
    </w:p>
    <w:p>
      <w:pPr>
        <w:pStyle w:val="249"/>
        <w:keepNext w:val="0"/>
        <w:keepLines w:val="0"/>
        <w:pageBreakBefore w:val="0"/>
        <w:widowControl/>
        <w:numPr>
          <w:ilvl w:val="0"/>
          <w:numId w:val="26"/>
        </w:numPr>
        <w:kinsoku/>
        <w:wordWrap/>
        <w:overflowPunct/>
        <w:topLinePunct w:val="0"/>
        <w:autoSpaceDE/>
        <w:autoSpaceDN/>
        <w:bidi w:val="0"/>
        <w:adjustRightInd/>
        <w:snapToGrid/>
        <w:ind w:left="839" w:hanging="420"/>
        <w:jc w:val="left"/>
        <w:textAlignment w:val="auto"/>
        <w:rPr>
          <w:rFonts w:hint="eastAsia"/>
        </w:rPr>
      </w:pPr>
      <w:r>
        <w:rPr>
          <w:rFonts w:hint="eastAsia"/>
        </w:rPr>
        <w:t>货道</w:t>
      </w:r>
      <w:r>
        <w:rPr>
          <w:rFonts w:hint="eastAsia"/>
          <w:lang w:eastAsia="zh-CN"/>
        </w:rPr>
        <w:t>：</w:t>
      </w:r>
      <w:r>
        <w:rPr>
          <w:rFonts w:hint="eastAsia"/>
        </w:rPr>
        <w:t>条</w:t>
      </w:r>
      <w:r>
        <w:rPr>
          <w:rFonts w:hint="eastAsia"/>
          <w:lang w:eastAsia="zh-CN"/>
        </w:rPr>
        <w:t>；</w:t>
      </w:r>
    </w:p>
    <w:p>
      <w:pPr>
        <w:pStyle w:val="249"/>
        <w:keepNext w:val="0"/>
        <w:keepLines w:val="0"/>
        <w:pageBreakBefore w:val="0"/>
        <w:widowControl/>
        <w:numPr>
          <w:ilvl w:val="0"/>
          <w:numId w:val="26"/>
        </w:numPr>
        <w:kinsoku/>
        <w:wordWrap/>
        <w:overflowPunct/>
        <w:topLinePunct w:val="0"/>
        <w:autoSpaceDE/>
        <w:autoSpaceDN/>
        <w:bidi w:val="0"/>
        <w:adjustRightInd/>
        <w:snapToGrid/>
        <w:ind w:left="839" w:hanging="420"/>
        <w:jc w:val="left"/>
        <w:textAlignment w:val="auto"/>
        <w:rPr>
          <w:rFonts w:hint="eastAsia"/>
        </w:rPr>
      </w:pPr>
      <w:r>
        <w:rPr>
          <w:rFonts w:hint="eastAsia"/>
        </w:rPr>
        <w:t>外形尺寸(长</w:t>
      </w:r>
      <w:r>
        <w:rPr>
          <w:rFonts w:hint="default" w:ascii="Arial" w:hAnsi="Arial" w:cs="Arial"/>
        </w:rPr>
        <w:t>×</w:t>
      </w:r>
      <w:r>
        <w:rPr>
          <w:rFonts w:hint="eastAsia"/>
        </w:rPr>
        <w:t>宽</w:t>
      </w:r>
      <w:r>
        <w:rPr>
          <w:rFonts w:hint="default" w:ascii="Arial" w:hAnsi="Arial" w:cs="Arial"/>
        </w:rPr>
        <w:t>×</w:t>
      </w:r>
      <w:r>
        <w:rPr>
          <w:rFonts w:hint="eastAsia"/>
        </w:rPr>
        <w:t>高)</w:t>
      </w:r>
      <w:r>
        <w:rPr>
          <w:rFonts w:hint="eastAsia"/>
          <w:lang w:eastAsia="zh-CN"/>
        </w:rPr>
        <w:t>：</w:t>
      </w:r>
      <w:r>
        <w:rPr>
          <w:rFonts w:hint="eastAsia"/>
        </w:rPr>
        <w:t>mm</w:t>
      </w:r>
      <w:r>
        <w:rPr>
          <w:rFonts w:hint="eastAsia"/>
          <w:lang w:eastAsia="zh-CN"/>
        </w:rPr>
        <w:t>；</w:t>
      </w:r>
    </w:p>
    <w:p>
      <w:pPr>
        <w:pStyle w:val="249"/>
        <w:keepNext w:val="0"/>
        <w:keepLines w:val="0"/>
        <w:pageBreakBefore w:val="0"/>
        <w:widowControl/>
        <w:numPr>
          <w:ilvl w:val="0"/>
          <w:numId w:val="26"/>
        </w:numPr>
        <w:kinsoku/>
        <w:wordWrap/>
        <w:overflowPunct/>
        <w:topLinePunct w:val="0"/>
        <w:autoSpaceDE/>
        <w:autoSpaceDN/>
        <w:bidi w:val="0"/>
        <w:adjustRightInd/>
        <w:snapToGrid/>
        <w:ind w:left="839" w:hanging="420"/>
        <w:jc w:val="left"/>
        <w:textAlignment w:val="auto"/>
        <w:rPr>
          <w:rFonts w:hint="eastAsia"/>
        </w:rPr>
      </w:pPr>
      <w:r>
        <w:rPr>
          <w:rFonts w:hint="eastAsia"/>
        </w:rPr>
        <w:t>质量</w:t>
      </w:r>
      <w:r>
        <w:rPr>
          <w:rFonts w:hint="eastAsia"/>
          <w:lang w:eastAsia="zh-CN"/>
        </w:rPr>
        <w:t>：</w:t>
      </w:r>
      <w:r>
        <w:rPr>
          <w:rFonts w:hint="eastAsia"/>
        </w:rPr>
        <w:t>kg。</w:t>
      </w:r>
    </w:p>
    <w:p>
      <w:pPr>
        <w:pStyle w:val="122"/>
        <w:spacing w:before="120" w:after="120"/>
      </w:pPr>
      <w:r>
        <w:rPr>
          <w:rFonts w:hint="eastAsia"/>
          <w:lang w:eastAsia="zh-CN"/>
        </w:rPr>
        <w:t>正常</w:t>
      </w:r>
      <w:r>
        <w:rPr>
          <w:rFonts w:hint="eastAsia"/>
        </w:rPr>
        <w:t>工作条件</w:t>
      </w:r>
    </w:p>
    <w:p>
      <w:pPr>
        <w:pStyle w:val="26"/>
        <w:ind w:firstLine="420"/>
        <w:rPr>
          <w:rFonts w:hint="eastAsia"/>
          <w:lang w:eastAsia="zh-CN"/>
        </w:rPr>
      </w:pPr>
      <w:r>
        <w:rPr>
          <w:rFonts w:hint="eastAsia"/>
        </w:rPr>
        <w:t>售卖机在下列条件</w:t>
      </w:r>
      <w:r>
        <w:rPr>
          <w:rFonts w:hint="eastAsia"/>
          <w:lang w:eastAsia="zh-CN"/>
        </w:rPr>
        <w:t>下</w:t>
      </w:r>
      <w:r>
        <w:rPr>
          <w:rFonts w:hint="eastAsia"/>
        </w:rPr>
        <w:t>应能正常工作</w:t>
      </w:r>
      <w:r>
        <w:rPr>
          <w:rFonts w:hint="eastAsia"/>
          <w:lang w:eastAsia="zh-CN"/>
        </w:rPr>
        <w:t>：</w:t>
      </w:r>
    </w:p>
    <w:p>
      <w:pPr>
        <w:pStyle w:val="249"/>
        <w:numPr>
          <w:ilvl w:val="0"/>
          <w:numId w:val="27"/>
        </w:numPr>
        <w:jc w:val="left"/>
      </w:pPr>
      <w:r>
        <w:rPr>
          <w:rFonts w:hint="eastAsia"/>
        </w:rPr>
        <w:t>环境温度</w:t>
      </w:r>
      <w:r>
        <w:rPr>
          <w:rFonts w:hint="eastAsia"/>
          <w:lang w:val="en-US" w:eastAsia="zh-CN"/>
        </w:rPr>
        <w:t>：</w:t>
      </w:r>
      <w:r>
        <w:rPr>
          <w:rFonts w:hint="eastAsia"/>
        </w:rPr>
        <w:t>4 ℃～36 ℃</w:t>
      </w:r>
      <w:r>
        <w:rPr>
          <w:color w:val="auto"/>
          <w:w w:val="105"/>
          <w:szCs w:val="21"/>
        </w:rPr>
        <w:t xml:space="preserve">； </w:t>
      </w:r>
    </w:p>
    <w:p>
      <w:pPr>
        <w:pStyle w:val="249"/>
        <w:numPr>
          <w:ilvl w:val="0"/>
          <w:numId w:val="27"/>
        </w:numPr>
        <w:jc w:val="left"/>
      </w:pPr>
      <w:r>
        <w:rPr>
          <w:rFonts w:hint="eastAsia"/>
        </w:rPr>
        <w:t>相对湿度</w:t>
      </w:r>
      <w:r>
        <w:rPr>
          <w:rFonts w:hint="eastAsia"/>
          <w:lang w:eastAsia="zh-CN"/>
        </w:rPr>
        <w:t>：</w:t>
      </w:r>
      <w:r>
        <w:rPr>
          <w:rFonts w:hint="eastAsia"/>
        </w:rPr>
        <w:t>≤85%；</w:t>
      </w:r>
    </w:p>
    <w:p>
      <w:pPr>
        <w:pStyle w:val="249"/>
        <w:numPr>
          <w:ilvl w:val="0"/>
          <w:numId w:val="27"/>
        </w:numPr>
        <w:jc w:val="left"/>
        <w:rPr>
          <w:rFonts w:hint="eastAsia"/>
        </w:rPr>
      </w:pPr>
      <w:r>
        <w:rPr>
          <w:rFonts w:hint="eastAsia"/>
        </w:rPr>
        <w:t>空气流速</w:t>
      </w:r>
      <w:r>
        <w:rPr>
          <w:rFonts w:hint="eastAsia"/>
          <w:lang w:eastAsia="zh-CN"/>
        </w:rPr>
        <w:t>：</w:t>
      </w:r>
      <w:r>
        <w:rPr>
          <w:rFonts w:hint="eastAsia"/>
        </w:rPr>
        <w:t>≤0.25 m/s；</w:t>
      </w:r>
    </w:p>
    <w:p>
      <w:pPr>
        <w:pStyle w:val="249"/>
        <w:numPr>
          <w:ilvl w:val="0"/>
          <w:numId w:val="27"/>
        </w:numPr>
        <w:jc w:val="left"/>
        <w:rPr>
          <w:rFonts w:hint="default"/>
        </w:rPr>
      </w:pPr>
      <w:r>
        <w:rPr>
          <w:rFonts w:hint="eastAsia"/>
        </w:rPr>
        <w:t>供电电压与额定电压偏差在士10%范围内；</w:t>
      </w:r>
    </w:p>
    <w:p>
      <w:pPr>
        <w:pStyle w:val="249"/>
        <w:numPr>
          <w:ilvl w:val="0"/>
          <w:numId w:val="27"/>
        </w:numPr>
        <w:jc w:val="left"/>
        <w:rPr>
          <w:rFonts w:hint="default"/>
        </w:rPr>
      </w:pPr>
      <w:r>
        <w:rPr>
          <w:rFonts w:hint="eastAsia"/>
        </w:rPr>
        <w:t>供电频率与额定频率偏差在±2%范围内</w:t>
      </w:r>
      <w:r>
        <w:t>。</w:t>
      </w:r>
    </w:p>
    <w:p>
      <w:pPr>
        <w:pStyle w:val="120"/>
        <w:spacing w:before="312" w:after="312"/>
        <w:rPr>
          <w:rFonts w:hint="default"/>
        </w:rPr>
      </w:pPr>
      <w:r>
        <w:t>要求</w:t>
      </w:r>
    </w:p>
    <w:p>
      <w:pPr>
        <w:pStyle w:val="122"/>
        <w:spacing w:before="120" w:after="120"/>
        <w:rPr>
          <w:rFonts w:hint="eastAsia"/>
        </w:rPr>
      </w:pPr>
      <w:r>
        <w:rPr>
          <w:rFonts w:hint="eastAsia"/>
          <w:lang w:eastAsia="zh-CN"/>
        </w:rPr>
        <w:t>材料</w:t>
      </w:r>
      <w:r>
        <w:rPr>
          <w:rFonts w:hint="eastAsia"/>
          <w:lang w:val="en-US" w:eastAsia="zh-CN"/>
        </w:rPr>
        <w:t>和</w:t>
      </w:r>
      <w:r>
        <w:rPr>
          <w:rFonts w:hint="eastAsia"/>
          <w:lang w:eastAsia="zh-CN"/>
        </w:rPr>
        <w:t>制冷系统</w:t>
      </w:r>
    </w:p>
    <w:p>
      <w:pPr>
        <w:pStyle w:val="134"/>
        <w:keepNext w:val="0"/>
        <w:keepLines w:val="0"/>
        <w:pageBreakBefore w:val="0"/>
        <w:widowControl/>
        <w:kinsoku/>
        <w:wordWrap/>
        <w:overflowPunct/>
        <w:topLinePunct w:val="0"/>
        <w:autoSpaceDE/>
        <w:autoSpaceDN/>
        <w:bidi w:val="0"/>
        <w:adjustRightInd/>
        <w:snapToGrid/>
        <w:spacing w:before="0" w:after="0"/>
        <w:textAlignment w:val="auto"/>
        <w:rPr>
          <w:rFonts w:hint="eastAsia" w:ascii="宋体" w:hAnsi="Times New Roman" w:eastAsia="宋体" w:cs="Times New Roman"/>
        </w:rPr>
      </w:pPr>
      <w:r>
        <w:rPr>
          <w:rFonts w:hint="eastAsia" w:ascii="宋体" w:hAnsi="Times New Roman" w:eastAsia="宋体" w:cs="Times New Roman"/>
        </w:rPr>
        <w:t>选用的材料、外购零部件应有生产厂的质量合格证明书。</w:t>
      </w:r>
    </w:p>
    <w:p>
      <w:pPr>
        <w:pStyle w:val="134"/>
        <w:keepNext w:val="0"/>
        <w:keepLines w:val="0"/>
        <w:pageBreakBefore w:val="0"/>
        <w:widowControl/>
        <w:kinsoku/>
        <w:wordWrap/>
        <w:overflowPunct/>
        <w:topLinePunct w:val="0"/>
        <w:autoSpaceDE/>
        <w:autoSpaceDN/>
        <w:bidi w:val="0"/>
        <w:adjustRightInd/>
        <w:snapToGrid/>
        <w:spacing w:before="0" w:after="0"/>
        <w:textAlignment w:val="auto"/>
        <w:rPr>
          <w:rFonts w:hint="eastAsia" w:ascii="宋体" w:hAnsi="Times New Roman" w:eastAsia="宋体" w:cs="Times New Roman"/>
        </w:rPr>
      </w:pPr>
      <w:r>
        <w:rPr>
          <w:rFonts w:hint="eastAsia" w:ascii="宋体" w:hAnsi="Times New Roman" w:eastAsia="宋体" w:cs="Times New Roman"/>
        </w:rPr>
        <w:t>与商品表面接触的材料应符合食品卫生相关标准要求。</w:t>
      </w:r>
    </w:p>
    <w:p>
      <w:pPr>
        <w:pStyle w:val="134"/>
        <w:keepNext w:val="0"/>
        <w:keepLines w:val="0"/>
        <w:pageBreakBefore w:val="0"/>
        <w:widowControl/>
        <w:kinsoku/>
        <w:wordWrap/>
        <w:overflowPunct/>
        <w:topLinePunct w:val="0"/>
        <w:autoSpaceDE/>
        <w:autoSpaceDN/>
        <w:bidi w:val="0"/>
        <w:adjustRightInd/>
        <w:snapToGrid/>
        <w:spacing w:before="0" w:after="0"/>
        <w:textAlignment w:val="auto"/>
        <w:rPr>
          <w:rFonts w:hint="eastAsia" w:ascii="宋体" w:hAnsi="Times New Roman" w:eastAsia="宋体" w:cs="Times New Roman"/>
        </w:rPr>
      </w:pPr>
      <w:r>
        <w:rPr>
          <w:rFonts w:hint="eastAsia" w:ascii="宋体" w:hAnsi="Times New Roman" w:eastAsia="宋体" w:cs="Times New Roman"/>
        </w:rPr>
        <w:t>不应采用玻璃纤维和矿渣棉作为绝热材料</w:t>
      </w:r>
      <w:r>
        <w:rPr>
          <w:rFonts w:hint="eastAsia" w:cs="Times New Roman"/>
          <w:lang w:eastAsia="zh-CN"/>
        </w:rPr>
        <w:t>，采</w:t>
      </w:r>
      <w:r>
        <w:rPr>
          <w:rFonts w:hint="eastAsia" w:ascii="宋体" w:hAnsi="Times New Roman" w:eastAsia="宋体" w:cs="Times New Roman"/>
        </w:rPr>
        <w:t>用的绝热材料不应产生霉变或异味。</w:t>
      </w:r>
    </w:p>
    <w:p>
      <w:pPr>
        <w:pStyle w:val="134"/>
        <w:keepNext w:val="0"/>
        <w:keepLines w:val="0"/>
        <w:pageBreakBefore w:val="0"/>
        <w:widowControl/>
        <w:kinsoku/>
        <w:wordWrap/>
        <w:overflowPunct/>
        <w:topLinePunct w:val="0"/>
        <w:autoSpaceDE/>
        <w:autoSpaceDN/>
        <w:bidi w:val="0"/>
        <w:adjustRightInd/>
        <w:snapToGrid/>
        <w:spacing w:before="0" w:after="0"/>
        <w:textAlignment w:val="auto"/>
        <w:rPr>
          <w:rFonts w:hint="eastAsia" w:ascii="宋体" w:hAnsi="Times New Roman" w:eastAsia="宋体" w:cs="Times New Roman"/>
        </w:rPr>
      </w:pPr>
      <w:r>
        <w:rPr>
          <w:rFonts w:hint="eastAsia" w:ascii="宋体" w:hAnsi="Times New Roman" w:eastAsia="宋体" w:cs="Times New Roman"/>
        </w:rPr>
        <w:t>制冷系统</w:t>
      </w:r>
      <w:r>
        <w:rPr>
          <w:rFonts w:hint="eastAsia" w:ascii="宋体" w:hAnsi="Times New Roman" w:eastAsia="宋体" w:cs="Times New Roman"/>
          <w:lang w:eastAsia="zh-CN"/>
        </w:rPr>
        <w:t>应符合</w:t>
      </w:r>
      <w:r>
        <w:rPr>
          <w:rFonts w:hint="eastAsia" w:ascii="宋体" w:hAnsi="Times New Roman" w:eastAsia="宋体" w:cs="Times New Roman"/>
        </w:rPr>
        <w:t>QB/T 5663—2021</w:t>
      </w:r>
      <w:r>
        <w:rPr>
          <w:rFonts w:hint="eastAsia" w:ascii="宋体" w:hAnsi="Times New Roman" w:eastAsia="宋体" w:cs="Times New Roman"/>
          <w:lang w:eastAsia="zh-CN"/>
        </w:rPr>
        <w:t>中</w:t>
      </w:r>
      <w:r>
        <w:rPr>
          <w:rFonts w:hint="eastAsia" w:ascii="宋体" w:hAnsi="Times New Roman" w:eastAsia="宋体" w:cs="Times New Roman"/>
          <w:lang w:val="en-US" w:eastAsia="zh-CN"/>
        </w:rPr>
        <w:t>6.4的要求</w:t>
      </w:r>
      <w:r>
        <w:rPr>
          <w:rFonts w:hint="eastAsia" w:ascii="宋体" w:hAnsi="Times New Roman" w:eastAsia="宋体" w:cs="Times New Roman"/>
        </w:rPr>
        <w:t>。</w:t>
      </w:r>
    </w:p>
    <w:p>
      <w:pPr>
        <w:pStyle w:val="122"/>
        <w:spacing w:before="120" w:after="120"/>
        <w:rPr>
          <w:rFonts w:hint="eastAsia"/>
        </w:rPr>
      </w:pPr>
      <w:r>
        <w:rPr>
          <w:rFonts w:hint="eastAsia"/>
        </w:rPr>
        <w:t>结构</w:t>
      </w:r>
    </w:p>
    <w:p>
      <w:pPr>
        <w:pStyle w:val="134"/>
        <w:keepNext w:val="0"/>
        <w:keepLines w:val="0"/>
        <w:pageBreakBefore w:val="0"/>
        <w:widowControl/>
        <w:kinsoku/>
        <w:wordWrap/>
        <w:overflowPunct/>
        <w:topLinePunct w:val="0"/>
        <w:autoSpaceDE/>
        <w:autoSpaceDN/>
        <w:bidi w:val="0"/>
        <w:adjustRightInd/>
        <w:snapToGrid/>
        <w:spacing w:before="0" w:after="0"/>
        <w:textAlignment w:val="auto"/>
        <w:rPr>
          <w:rFonts w:hint="eastAsia"/>
        </w:rPr>
      </w:pPr>
      <w:r>
        <w:rPr>
          <w:rFonts w:hint="eastAsia" w:ascii="宋体" w:hAnsi="Times New Roman" w:eastAsia="宋体" w:cs="Times New Roman"/>
        </w:rPr>
        <w:t>柜体结构应符合</w:t>
      </w:r>
      <w:r>
        <w:rPr>
          <w:rFonts w:hint="eastAsia"/>
        </w:rPr>
        <w:t>GB/T 21001.2—2015中4.1的规定。</w:t>
      </w:r>
    </w:p>
    <w:p>
      <w:pPr>
        <w:pStyle w:val="134"/>
        <w:keepNext w:val="0"/>
        <w:keepLines w:val="0"/>
        <w:pageBreakBefore w:val="0"/>
        <w:widowControl/>
        <w:kinsoku/>
        <w:wordWrap/>
        <w:overflowPunct/>
        <w:topLinePunct w:val="0"/>
        <w:autoSpaceDE/>
        <w:autoSpaceDN/>
        <w:bidi w:val="0"/>
        <w:adjustRightInd/>
        <w:snapToGrid/>
        <w:spacing w:before="0" w:after="0"/>
        <w:textAlignment w:val="auto"/>
        <w:rPr>
          <w:rFonts w:hint="eastAsia"/>
        </w:rPr>
      </w:pPr>
      <w:r>
        <w:rPr>
          <w:rFonts w:hint="eastAsia"/>
          <w:highlight w:val="none"/>
        </w:rPr>
        <w:t>货道应有高度和宽度调整功能</w:t>
      </w:r>
      <w:r>
        <w:rPr>
          <w:rFonts w:hint="eastAsia"/>
        </w:rPr>
        <w:t>。</w:t>
      </w:r>
    </w:p>
    <w:p>
      <w:pPr>
        <w:pStyle w:val="134"/>
        <w:keepNext w:val="0"/>
        <w:keepLines w:val="0"/>
        <w:pageBreakBefore w:val="0"/>
        <w:widowControl/>
        <w:kinsoku/>
        <w:wordWrap/>
        <w:overflowPunct/>
        <w:topLinePunct w:val="0"/>
        <w:autoSpaceDE/>
        <w:autoSpaceDN/>
        <w:bidi w:val="0"/>
        <w:adjustRightInd/>
        <w:snapToGrid/>
        <w:spacing w:before="0" w:after="0"/>
        <w:textAlignment w:val="auto"/>
      </w:pPr>
      <w:r>
        <w:rPr>
          <w:rFonts w:hint="eastAsia"/>
        </w:rPr>
        <w:t>货道应有足够的强度和刚度，在满负载条件下应无变形。</w:t>
      </w:r>
    </w:p>
    <w:p>
      <w:pPr>
        <w:pStyle w:val="134"/>
        <w:keepNext w:val="0"/>
        <w:keepLines w:val="0"/>
        <w:pageBreakBefore w:val="0"/>
        <w:widowControl/>
        <w:kinsoku/>
        <w:wordWrap/>
        <w:overflowPunct/>
        <w:topLinePunct w:val="0"/>
        <w:autoSpaceDE/>
        <w:autoSpaceDN/>
        <w:bidi w:val="0"/>
        <w:adjustRightInd/>
        <w:snapToGrid/>
        <w:spacing w:before="0" w:after="0"/>
        <w:textAlignment w:val="auto"/>
        <w:rPr>
          <w:rFonts w:hint="eastAsia"/>
        </w:rPr>
      </w:pPr>
      <w:r>
        <w:rPr>
          <w:rFonts w:hint="eastAsia"/>
        </w:rPr>
        <w:t>货道托盘应具备自锁功能，应具有防止移位和脱落结构。</w:t>
      </w:r>
    </w:p>
    <w:p>
      <w:pPr>
        <w:pStyle w:val="134"/>
        <w:keepNext w:val="0"/>
        <w:keepLines w:val="0"/>
        <w:pageBreakBefore w:val="0"/>
        <w:widowControl/>
        <w:kinsoku/>
        <w:wordWrap/>
        <w:overflowPunct/>
        <w:topLinePunct w:val="0"/>
        <w:autoSpaceDE/>
        <w:autoSpaceDN/>
        <w:bidi w:val="0"/>
        <w:adjustRightInd/>
        <w:snapToGrid/>
        <w:spacing w:before="0" w:after="0"/>
        <w:textAlignment w:val="auto"/>
      </w:pPr>
      <w:r>
        <w:rPr>
          <w:rFonts w:hint="eastAsia"/>
        </w:rPr>
        <w:t>升降机构应有极限位置的保护装置。</w:t>
      </w:r>
    </w:p>
    <w:p>
      <w:pPr>
        <w:pStyle w:val="134"/>
        <w:keepNext w:val="0"/>
        <w:keepLines w:val="0"/>
        <w:pageBreakBefore w:val="0"/>
        <w:widowControl/>
        <w:kinsoku/>
        <w:wordWrap/>
        <w:overflowPunct/>
        <w:topLinePunct w:val="0"/>
        <w:autoSpaceDE/>
        <w:autoSpaceDN/>
        <w:bidi w:val="0"/>
        <w:adjustRightInd/>
        <w:snapToGrid/>
        <w:spacing w:before="0" w:after="0"/>
        <w:textAlignment w:val="auto"/>
        <w:rPr>
          <w:rFonts w:hint="eastAsia"/>
        </w:rPr>
      </w:pPr>
      <w:r>
        <w:rPr>
          <w:rFonts w:hint="eastAsia"/>
        </w:rPr>
        <w:t>应有防止预商品因掉落损坏的缓冲装置。</w:t>
      </w:r>
    </w:p>
    <w:p>
      <w:pPr>
        <w:pStyle w:val="134"/>
        <w:keepNext w:val="0"/>
        <w:keepLines w:val="0"/>
        <w:pageBreakBefore w:val="0"/>
        <w:widowControl/>
        <w:kinsoku/>
        <w:wordWrap/>
        <w:overflowPunct/>
        <w:topLinePunct w:val="0"/>
        <w:autoSpaceDE/>
        <w:autoSpaceDN/>
        <w:bidi w:val="0"/>
        <w:adjustRightInd/>
        <w:snapToGrid/>
        <w:spacing w:before="0" w:after="0"/>
        <w:textAlignment w:val="auto"/>
      </w:pPr>
      <w:r>
        <w:rPr>
          <w:rFonts w:hint="eastAsia"/>
        </w:rPr>
        <w:t>应配备防止玻璃表面及其部件冷表面产生凝露现象的自动除雾装置。</w:t>
      </w:r>
    </w:p>
    <w:p>
      <w:pPr>
        <w:pStyle w:val="134"/>
        <w:keepNext w:val="0"/>
        <w:keepLines w:val="0"/>
        <w:pageBreakBefore w:val="0"/>
        <w:widowControl/>
        <w:kinsoku/>
        <w:wordWrap/>
        <w:overflowPunct/>
        <w:topLinePunct w:val="0"/>
        <w:autoSpaceDE/>
        <w:autoSpaceDN/>
        <w:bidi w:val="0"/>
        <w:adjustRightInd/>
        <w:snapToGrid/>
        <w:spacing w:before="0" w:after="0"/>
        <w:textAlignment w:val="auto"/>
      </w:pPr>
      <w:r>
        <w:rPr>
          <w:rFonts w:hint="eastAsia"/>
        </w:rPr>
        <w:t>应具有货物防盗、外部防拆防护结构。</w:t>
      </w:r>
    </w:p>
    <w:p>
      <w:pPr>
        <w:pStyle w:val="134"/>
        <w:keepNext w:val="0"/>
        <w:keepLines w:val="0"/>
        <w:pageBreakBefore w:val="0"/>
        <w:widowControl/>
        <w:kinsoku/>
        <w:wordWrap/>
        <w:overflowPunct/>
        <w:topLinePunct w:val="0"/>
        <w:autoSpaceDE/>
        <w:autoSpaceDN/>
        <w:bidi w:val="0"/>
        <w:adjustRightInd/>
        <w:snapToGrid/>
        <w:spacing w:before="0" w:after="0"/>
        <w:textAlignment w:val="auto"/>
      </w:pPr>
      <w:r>
        <w:rPr>
          <w:rFonts w:hint="eastAsia"/>
        </w:rPr>
        <w:t>取货口的设计应防夹手。</w:t>
      </w:r>
    </w:p>
    <w:p>
      <w:pPr>
        <w:pStyle w:val="134"/>
        <w:keepNext w:val="0"/>
        <w:keepLines w:val="0"/>
        <w:pageBreakBefore w:val="0"/>
        <w:widowControl/>
        <w:kinsoku/>
        <w:wordWrap/>
        <w:overflowPunct/>
        <w:topLinePunct w:val="0"/>
        <w:autoSpaceDE/>
        <w:autoSpaceDN/>
        <w:bidi w:val="0"/>
        <w:adjustRightInd/>
        <w:snapToGrid/>
        <w:spacing w:before="0" w:after="0"/>
        <w:textAlignment w:val="auto"/>
      </w:pPr>
      <w:r>
        <w:rPr>
          <w:rFonts w:hint="eastAsia" w:ascii="宋体" w:hAnsi="Times New Roman" w:eastAsia="宋体" w:cs="Times New Roman"/>
        </w:rPr>
        <w:t>应设置电源和温度指示。</w:t>
      </w:r>
    </w:p>
    <w:p>
      <w:pPr>
        <w:pStyle w:val="134"/>
        <w:keepNext w:val="0"/>
        <w:keepLines w:val="0"/>
        <w:pageBreakBefore w:val="0"/>
        <w:widowControl/>
        <w:kinsoku/>
        <w:wordWrap/>
        <w:overflowPunct/>
        <w:topLinePunct w:val="0"/>
        <w:autoSpaceDE/>
        <w:autoSpaceDN/>
        <w:bidi w:val="0"/>
        <w:adjustRightInd/>
        <w:snapToGrid/>
        <w:spacing w:before="0" w:after="0"/>
        <w:textAlignment w:val="auto"/>
      </w:pPr>
      <w:r>
        <w:rPr>
          <w:rFonts w:hint="eastAsia" w:ascii="宋体" w:hAnsi="Times New Roman" w:eastAsia="宋体" w:cs="Times New Roman"/>
        </w:rPr>
        <w:t>各零件、螺栓及螺母等紧固件应</w:t>
      </w:r>
      <w:r>
        <w:rPr>
          <w:rFonts w:hint="eastAsia" w:cs="Times New Roman"/>
          <w:lang w:eastAsia="zh-CN"/>
        </w:rPr>
        <w:t>设有</w:t>
      </w:r>
      <w:r>
        <w:rPr>
          <w:rFonts w:hint="eastAsia" w:ascii="宋体" w:hAnsi="Times New Roman" w:eastAsia="宋体" w:cs="Times New Roman"/>
        </w:rPr>
        <w:t>可靠固定</w:t>
      </w:r>
      <w:r>
        <w:rPr>
          <w:rFonts w:hint="eastAsia" w:cs="Times New Roman"/>
          <w:lang w:eastAsia="zh-CN"/>
        </w:rPr>
        <w:t>、</w:t>
      </w:r>
      <w:r>
        <w:rPr>
          <w:rFonts w:hint="eastAsia" w:ascii="宋体" w:hAnsi="Times New Roman" w:eastAsia="宋体" w:cs="Times New Roman"/>
        </w:rPr>
        <w:t>无松动</w:t>
      </w:r>
      <w:r>
        <w:rPr>
          <w:rFonts w:hint="eastAsia" w:cs="Times New Roman"/>
          <w:lang w:eastAsia="zh-CN"/>
        </w:rPr>
        <w:t>措施</w:t>
      </w:r>
      <w:r>
        <w:rPr>
          <w:rFonts w:hint="eastAsia" w:ascii="宋体" w:hAnsi="Times New Roman" w:eastAsia="宋体" w:cs="Times New Roman"/>
        </w:rPr>
        <w:t>，不应因震动而脱落。</w:t>
      </w:r>
    </w:p>
    <w:p>
      <w:pPr>
        <w:pStyle w:val="122"/>
        <w:spacing w:before="120" w:after="120"/>
        <w:rPr>
          <w:rFonts w:hint="eastAsia"/>
        </w:rPr>
      </w:pPr>
      <w:r>
        <w:rPr>
          <w:rFonts w:hint="eastAsia"/>
        </w:rPr>
        <w:t>外观</w:t>
      </w:r>
    </w:p>
    <w:p>
      <w:pPr>
        <w:pStyle w:val="134"/>
        <w:keepNext w:val="0"/>
        <w:keepLines w:val="0"/>
        <w:pageBreakBefore w:val="0"/>
        <w:widowControl/>
        <w:kinsoku/>
        <w:wordWrap/>
        <w:overflowPunct/>
        <w:topLinePunct w:val="0"/>
        <w:autoSpaceDE/>
        <w:autoSpaceDN/>
        <w:bidi w:val="0"/>
        <w:adjustRightInd/>
        <w:snapToGrid/>
        <w:spacing w:before="0" w:after="0"/>
        <w:textAlignment w:val="auto"/>
        <w:rPr>
          <w:rFonts w:hint="eastAsia"/>
        </w:rPr>
      </w:pPr>
      <w:bookmarkStart w:id="11" w:name="OLE_LINK3"/>
      <w:r>
        <w:rPr>
          <w:rFonts w:hint="eastAsia"/>
        </w:rPr>
        <w:t>表面应无凸起、凹陷、粗糙不平等缺陷。</w:t>
      </w:r>
    </w:p>
    <w:p>
      <w:pPr>
        <w:pStyle w:val="134"/>
        <w:keepNext w:val="0"/>
        <w:keepLines w:val="0"/>
        <w:pageBreakBefore w:val="0"/>
        <w:widowControl/>
        <w:kinsoku/>
        <w:wordWrap/>
        <w:overflowPunct/>
        <w:topLinePunct w:val="0"/>
        <w:autoSpaceDE/>
        <w:autoSpaceDN/>
        <w:bidi w:val="0"/>
        <w:adjustRightInd/>
        <w:snapToGrid/>
        <w:spacing w:before="0" w:after="0"/>
        <w:textAlignment w:val="auto"/>
      </w:pPr>
      <w:r>
        <w:rPr>
          <w:rFonts w:hint="eastAsia"/>
        </w:rPr>
        <w:t>涂层表面应平整光亮，色泽均匀，无流疤、麻坑、皱纹、起泡、漏涂、集合沙粒和划痕等缺陷。</w:t>
      </w:r>
    </w:p>
    <w:p>
      <w:pPr>
        <w:pStyle w:val="134"/>
        <w:keepNext w:val="0"/>
        <w:keepLines w:val="0"/>
        <w:pageBreakBefore w:val="0"/>
        <w:widowControl/>
        <w:kinsoku/>
        <w:wordWrap/>
        <w:overflowPunct/>
        <w:topLinePunct w:val="0"/>
        <w:autoSpaceDE/>
        <w:autoSpaceDN/>
        <w:bidi w:val="0"/>
        <w:adjustRightInd/>
        <w:snapToGrid/>
        <w:spacing w:before="0" w:after="0"/>
        <w:textAlignment w:val="auto"/>
        <w:rPr>
          <w:rFonts w:hint="eastAsia"/>
        </w:rPr>
      </w:pPr>
      <w:r>
        <w:rPr>
          <w:rFonts w:hint="eastAsia"/>
        </w:rPr>
        <w:t>电镀件的装饰镀层应光滑细密，无锈点锈迹、针孔气泡和镀层剥落等缺陷。</w:t>
      </w:r>
    </w:p>
    <w:p>
      <w:pPr>
        <w:pStyle w:val="134"/>
        <w:keepNext w:val="0"/>
        <w:keepLines w:val="0"/>
        <w:pageBreakBefore w:val="0"/>
        <w:widowControl/>
        <w:kinsoku/>
        <w:wordWrap/>
        <w:overflowPunct/>
        <w:topLinePunct w:val="0"/>
        <w:autoSpaceDE/>
        <w:autoSpaceDN/>
        <w:bidi w:val="0"/>
        <w:adjustRightInd/>
        <w:snapToGrid/>
        <w:spacing w:before="0" w:after="0"/>
        <w:textAlignment w:val="auto"/>
      </w:pPr>
      <w:r>
        <w:rPr>
          <w:rFonts w:hint="eastAsia"/>
        </w:rPr>
        <w:t>塑料件表面应平整光滑、色泽均匀，无裂痕、气泡、明显缩孔和变形等缺陷。</w:t>
      </w:r>
    </w:p>
    <w:p>
      <w:pPr>
        <w:pStyle w:val="134"/>
        <w:keepNext w:val="0"/>
        <w:keepLines w:val="0"/>
        <w:pageBreakBefore w:val="0"/>
        <w:widowControl/>
        <w:kinsoku/>
        <w:wordWrap/>
        <w:overflowPunct/>
        <w:topLinePunct w:val="0"/>
        <w:autoSpaceDE/>
        <w:autoSpaceDN/>
        <w:bidi w:val="0"/>
        <w:adjustRightInd/>
        <w:snapToGrid/>
        <w:spacing w:before="0" w:after="0"/>
        <w:textAlignment w:val="auto"/>
      </w:pPr>
      <w:r>
        <w:rPr>
          <w:rFonts w:hint="eastAsia"/>
        </w:rPr>
        <w:t>制冷系统应清洁、干燥，无脏堵和机件损坏等缺陷。</w:t>
      </w:r>
    </w:p>
    <w:p>
      <w:pPr>
        <w:pStyle w:val="134"/>
        <w:keepNext w:val="0"/>
        <w:keepLines w:val="0"/>
        <w:pageBreakBefore w:val="0"/>
        <w:widowControl/>
        <w:kinsoku/>
        <w:wordWrap/>
        <w:overflowPunct/>
        <w:topLinePunct w:val="0"/>
        <w:autoSpaceDE/>
        <w:autoSpaceDN/>
        <w:bidi w:val="0"/>
        <w:adjustRightInd/>
        <w:snapToGrid/>
        <w:spacing w:before="0" w:after="0"/>
        <w:textAlignment w:val="auto"/>
      </w:pPr>
      <w:r>
        <w:rPr>
          <w:rFonts w:hint="eastAsia"/>
          <w:lang w:eastAsia="zh-CN"/>
        </w:rPr>
        <w:t>各种标志应清晰、牢靠。</w:t>
      </w:r>
    </w:p>
    <w:bookmarkEnd w:id="11"/>
    <w:p>
      <w:pPr>
        <w:pStyle w:val="122"/>
        <w:spacing w:before="120" w:after="120"/>
        <w:rPr>
          <w:rFonts w:hint="eastAsia"/>
        </w:rPr>
      </w:pPr>
      <w:r>
        <w:rPr>
          <w:rFonts w:hint="eastAsia"/>
        </w:rPr>
        <w:t>尺寸</w:t>
      </w:r>
    </w:p>
    <w:p>
      <w:pPr>
        <w:pStyle w:val="26"/>
        <w:keepNext w:val="0"/>
        <w:keepLines w:val="0"/>
        <w:pageBreakBefore w:val="0"/>
        <w:widowControl/>
        <w:kinsoku/>
        <w:wordWrap/>
        <w:overflowPunct/>
        <w:topLinePunct w:val="0"/>
        <w:autoSpaceDE/>
        <w:autoSpaceDN/>
        <w:bidi w:val="0"/>
        <w:adjustRightInd/>
        <w:snapToGrid/>
        <w:ind w:firstLine="420"/>
        <w:textAlignment w:val="auto"/>
      </w:pPr>
      <w:r>
        <w:rPr>
          <w:rFonts w:hint="eastAsia"/>
        </w:rPr>
        <w:t>尺寸应符合图样要求，外</w:t>
      </w:r>
      <w:r>
        <w:rPr>
          <w:rFonts w:hint="eastAsia"/>
          <w:lang w:val="en-US" w:eastAsia="zh-CN"/>
        </w:rPr>
        <w:t>形</w:t>
      </w:r>
      <w:r>
        <w:rPr>
          <w:rFonts w:hint="eastAsia"/>
        </w:rPr>
        <w:t>尺寸允许偏差为士2%。</w:t>
      </w:r>
    </w:p>
    <w:p>
      <w:pPr>
        <w:pStyle w:val="122"/>
        <w:spacing w:before="120" w:after="120"/>
        <w:rPr>
          <w:rFonts w:hint="eastAsia"/>
        </w:rPr>
      </w:pPr>
      <w:r>
        <w:rPr>
          <w:rFonts w:hint="eastAsia"/>
        </w:rPr>
        <w:t>性能</w:t>
      </w:r>
    </w:p>
    <w:p>
      <w:pPr>
        <w:pStyle w:val="124"/>
        <w:spacing w:before="120" w:after="120"/>
        <w:rPr>
          <w:rFonts w:hint="eastAsia"/>
          <w:lang w:eastAsia="zh-CN"/>
        </w:rPr>
      </w:pPr>
      <w:r>
        <w:rPr>
          <w:rFonts w:hint="eastAsia"/>
          <w:lang w:eastAsia="zh-CN"/>
        </w:rPr>
        <w:t>一般性能</w:t>
      </w:r>
    </w:p>
    <w:p>
      <w:pPr>
        <w:pStyle w:val="126"/>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rPr>
      </w:pPr>
      <w:r>
        <w:rPr>
          <w:rFonts w:hint="eastAsia" w:ascii="宋体" w:hAnsi="宋体" w:eastAsia="宋体" w:cs="宋体"/>
        </w:rPr>
        <w:t>整机应运转平稳、动作协调</w:t>
      </w:r>
      <w:r>
        <w:rPr>
          <w:rFonts w:hint="eastAsia" w:ascii="宋体" w:hAnsi="宋体" w:eastAsia="宋体" w:cs="宋体"/>
          <w:lang w:val="en-US" w:eastAsia="zh-CN"/>
        </w:rPr>
        <w:t>、</w:t>
      </w:r>
      <w:r>
        <w:rPr>
          <w:rFonts w:hint="eastAsia" w:ascii="宋体" w:hAnsi="宋体" w:eastAsia="宋体" w:cs="宋体"/>
        </w:rPr>
        <w:t>准确，无异常声响。</w:t>
      </w:r>
    </w:p>
    <w:p>
      <w:pPr>
        <w:pStyle w:val="126"/>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lang w:eastAsia="zh-CN"/>
        </w:rPr>
      </w:pPr>
      <w:r>
        <w:rPr>
          <w:rFonts w:hint="eastAsia" w:ascii="宋体" w:hAnsi="宋体" w:eastAsia="宋体" w:cs="宋体"/>
          <w:lang w:eastAsia="zh-CN"/>
        </w:rPr>
        <w:t>各</w:t>
      </w:r>
      <w:r>
        <w:rPr>
          <w:rFonts w:hint="eastAsia" w:ascii="宋体" w:hAnsi="宋体" w:eastAsia="宋体" w:cs="宋体"/>
        </w:rPr>
        <w:t>控制功能</w:t>
      </w:r>
      <w:r>
        <w:rPr>
          <w:rFonts w:hint="eastAsia" w:ascii="宋体" w:hAnsi="宋体" w:eastAsia="宋体" w:cs="宋体"/>
          <w:lang w:eastAsia="zh-CN"/>
        </w:rPr>
        <w:t>和指示应</w:t>
      </w:r>
      <w:r>
        <w:rPr>
          <w:rFonts w:hint="eastAsia" w:ascii="宋体" w:hAnsi="宋体" w:eastAsia="宋体" w:cs="宋体"/>
        </w:rPr>
        <w:t>正常</w:t>
      </w:r>
      <w:r>
        <w:rPr>
          <w:rFonts w:hint="eastAsia" w:ascii="宋体" w:hAnsi="宋体" w:eastAsia="宋体" w:cs="宋体"/>
          <w:lang w:eastAsia="zh-CN"/>
        </w:rPr>
        <w:t>。</w:t>
      </w:r>
    </w:p>
    <w:p>
      <w:pPr>
        <w:pStyle w:val="126"/>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rPr>
      </w:pPr>
      <w:r>
        <w:rPr>
          <w:rFonts w:hint="eastAsia" w:ascii="宋体" w:hAnsi="宋体" w:eastAsia="宋体" w:cs="宋体"/>
        </w:rPr>
        <w:t>制冷系统</w:t>
      </w:r>
      <w:r>
        <w:rPr>
          <w:rFonts w:hint="eastAsia" w:ascii="宋体" w:hAnsi="宋体" w:eastAsia="宋体" w:cs="宋体"/>
          <w:lang w:eastAsia="zh-CN"/>
        </w:rPr>
        <w:t>应</w:t>
      </w:r>
      <w:r>
        <w:rPr>
          <w:rFonts w:hint="eastAsia" w:ascii="宋体" w:hAnsi="宋体" w:eastAsia="宋体" w:cs="宋体"/>
        </w:rPr>
        <w:t>工作正常，</w:t>
      </w:r>
      <w:r>
        <w:rPr>
          <w:rFonts w:hint="eastAsia" w:ascii="宋体" w:hAnsi="宋体" w:eastAsia="宋体" w:cs="宋体"/>
          <w:highlight w:val="none"/>
          <w:lang w:eastAsia="zh-CN"/>
        </w:rPr>
        <w:t>机</w:t>
      </w:r>
      <w:r>
        <w:rPr>
          <w:rFonts w:hint="eastAsia" w:ascii="宋体" w:hAnsi="宋体" w:eastAsia="宋体" w:cs="宋体"/>
          <w:highlight w:val="none"/>
        </w:rPr>
        <w:t>内温度</w:t>
      </w:r>
      <w:r>
        <w:rPr>
          <w:rFonts w:hint="eastAsia" w:ascii="宋体" w:hAnsi="宋体" w:eastAsia="宋体" w:cs="宋体"/>
          <w:highlight w:val="none"/>
          <w:lang w:eastAsia="zh-CN"/>
        </w:rPr>
        <w:t>应控制</w:t>
      </w:r>
      <w:r>
        <w:rPr>
          <w:rFonts w:hint="eastAsia" w:ascii="宋体" w:hAnsi="宋体" w:eastAsia="宋体" w:cs="宋体"/>
          <w:highlight w:val="none"/>
        </w:rPr>
        <w:t>在0</w:t>
      </w:r>
      <w:r>
        <w:rPr>
          <w:rFonts w:hint="eastAsia" w:ascii="宋体" w:hAnsi="宋体" w:eastAsia="宋体" w:cs="宋体"/>
          <w:highlight w:val="none"/>
          <w:lang w:val="en-US" w:eastAsia="zh-CN"/>
        </w:rPr>
        <w:t xml:space="preserve"> </w:t>
      </w:r>
      <w:r>
        <w:rPr>
          <w:rFonts w:hint="eastAsia" w:ascii="宋体" w:hAnsi="宋体" w:eastAsia="宋体" w:cs="宋体"/>
          <w:highlight w:val="none"/>
        </w:rPr>
        <w:t>℃～6</w:t>
      </w:r>
      <w:r>
        <w:rPr>
          <w:rFonts w:hint="eastAsia" w:ascii="宋体" w:hAnsi="宋体" w:eastAsia="宋体" w:cs="宋体"/>
          <w:highlight w:val="none"/>
          <w:lang w:val="en-US" w:eastAsia="zh-CN"/>
        </w:rPr>
        <w:t xml:space="preserve"> </w:t>
      </w:r>
      <w:r>
        <w:rPr>
          <w:rFonts w:hint="eastAsia" w:ascii="宋体" w:hAnsi="宋体" w:eastAsia="宋体" w:cs="宋体"/>
          <w:highlight w:val="none"/>
        </w:rPr>
        <w:t>℃</w:t>
      </w:r>
      <w:r>
        <w:rPr>
          <w:rFonts w:hint="eastAsia" w:ascii="宋体" w:hAnsi="宋体" w:eastAsia="宋体" w:cs="宋体"/>
          <w:highlight w:val="none"/>
          <w:lang w:eastAsia="zh-CN"/>
        </w:rPr>
        <w:t>。</w:t>
      </w:r>
    </w:p>
    <w:p>
      <w:pPr>
        <w:pStyle w:val="126"/>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rPr>
      </w:pPr>
      <w:r>
        <w:rPr>
          <w:rFonts w:hint="eastAsia" w:ascii="宋体" w:hAnsi="宋体" w:eastAsia="宋体" w:cs="宋体"/>
          <w:lang w:eastAsia="zh-CN"/>
        </w:rPr>
        <w:t>各显示功能</w:t>
      </w:r>
      <w:r>
        <w:rPr>
          <w:rFonts w:hint="eastAsia" w:ascii="宋体" w:hAnsi="宋体" w:eastAsia="宋体" w:cs="宋体"/>
        </w:rPr>
        <w:t>正常，媒体</w:t>
      </w:r>
      <w:r>
        <w:rPr>
          <w:rFonts w:hint="eastAsia" w:ascii="宋体" w:hAnsi="宋体" w:eastAsia="宋体" w:cs="宋体"/>
          <w:lang w:eastAsia="zh-CN"/>
        </w:rPr>
        <w:t>播放音乐应</w:t>
      </w:r>
      <w:r>
        <w:rPr>
          <w:rFonts w:hint="eastAsia" w:ascii="宋体" w:hAnsi="宋体" w:eastAsia="宋体" w:cs="宋体"/>
        </w:rPr>
        <w:t>流畅</w:t>
      </w:r>
      <w:r>
        <w:rPr>
          <w:rFonts w:hint="eastAsia" w:ascii="宋体" w:hAnsi="宋体" w:eastAsia="宋体" w:cs="宋体"/>
          <w:lang w:eastAsia="zh-CN"/>
        </w:rPr>
        <w:t>无</w:t>
      </w:r>
      <w:r>
        <w:rPr>
          <w:rFonts w:hint="eastAsia" w:ascii="宋体" w:hAnsi="宋体" w:eastAsia="宋体" w:cs="宋体"/>
        </w:rPr>
        <w:t>杂音、断续、失真等现象</w:t>
      </w:r>
      <w:r>
        <w:rPr>
          <w:rFonts w:hint="eastAsia" w:ascii="宋体" w:hAnsi="宋体" w:eastAsia="宋体" w:cs="宋体"/>
          <w:lang w:eastAsia="zh-CN"/>
        </w:rPr>
        <w:t>，</w:t>
      </w:r>
      <w:r>
        <w:rPr>
          <w:rFonts w:hint="eastAsia" w:ascii="宋体" w:hAnsi="宋体" w:eastAsia="宋体" w:cs="宋体"/>
        </w:rPr>
        <w:t>媒体图像</w:t>
      </w:r>
      <w:r>
        <w:rPr>
          <w:rFonts w:hint="eastAsia" w:ascii="宋体" w:hAnsi="宋体" w:eastAsia="宋体" w:cs="宋体"/>
          <w:lang w:eastAsia="zh-CN"/>
        </w:rPr>
        <w:t>应</w:t>
      </w:r>
      <w:r>
        <w:rPr>
          <w:rFonts w:hint="eastAsia" w:ascii="宋体" w:hAnsi="宋体" w:eastAsia="宋体" w:cs="宋体"/>
        </w:rPr>
        <w:t>稳定无异常。</w:t>
      </w:r>
    </w:p>
    <w:p>
      <w:pPr>
        <w:pStyle w:val="126"/>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rPr>
      </w:pPr>
      <w:r>
        <w:rPr>
          <w:rFonts w:hint="eastAsia" w:ascii="宋体" w:hAnsi="宋体" w:eastAsia="宋体" w:cs="宋体"/>
        </w:rPr>
        <w:t>触摸屏</w:t>
      </w:r>
      <w:r>
        <w:rPr>
          <w:rFonts w:hint="eastAsia" w:ascii="宋体" w:hAnsi="宋体" w:eastAsia="宋体" w:cs="宋体"/>
          <w:lang w:eastAsia="zh-CN"/>
        </w:rPr>
        <w:t>、</w:t>
      </w:r>
      <w:r>
        <w:rPr>
          <w:rFonts w:hint="eastAsia" w:ascii="宋体" w:hAnsi="宋体" w:eastAsia="宋体" w:cs="宋体"/>
        </w:rPr>
        <w:t>触摸面板</w:t>
      </w:r>
      <w:r>
        <w:rPr>
          <w:rFonts w:hint="eastAsia" w:ascii="宋体" w:hAnsi="宋体" w:eastAsia="宋体" w:cs="宋体"/>
          <w:lang w:eastAsia="zh-CN"/>
        </w:rPr>
        <w:t>、</w:t>
      </w:r>
      <w:r>
        <w:rPr>
          <w:rFonts w:hint="eastAsia" w:ascii="宋体" w:hAnsi="宋体" w:eastAsia="宋体" w:cs="宋体"/>
        </w:rPr>
        <w:t>按键</w:t>
      </w:r>
      <w:r>
        <w:rPr>
          <w:rFonts w:hint="eastAsia" w:ascii="宋体" w:hAnsi="宋体" w:eastAsia="宋体" w:cs="宋体"/>
          <w:lang w:eastAsia="zh-CN"/>
        </w:rPr>
        <w:t>等应操作顺畅。</w:t>
      </w:r>
    </w:p>
    <w:p>
      <w:pPr>
        <w:pStyle w:val="126"/>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rPr>
      </w:pPr>
      <w:r>
        <w:rPr>
          <w:rFonts w:hint="eastAsia" w:ascii="宋体" w:hAnsi="宋体" w:eastAsia="宋体" w:cs="宋体"/>
        </w:rPr>
        <w:t>出货防护门</w:t>
      </w:r>
      <w:r>
        <w:rPr>
          <w:rFonts w:hint="eastAsia" w:ascii="宋体" w:hAnsi="宋体" w:eastAsia="宋体" w:cs="宋体"/>
          <w:lang w:eastAsia="zh-CN"/>
        </w:rPr>
        <w:t>应</w:t>
      </w:r>
      <w:r>
        <w:rPr>
          <w:rFonts w:hint="eastAsia" w:ascii="宋体" w:hAnsi="宋体" w:eastAsia="宋体" w:cs="宋体"/>
        </w:rPr>
        <w:t>伸缩灵活，无卡死及伸缩失灵等现象。</w:t>
      </w:r>
    </w:p>
    <w:p>
      <w:pPr>
        <w:pStyle w:val="126"/>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lang w:eastAsia="zh-CN"/>
        </w:rPr>
      </w:pPr>
      <w:r>
        <w:rPr>
          <w:rFonts w:hint="eastAsia" w:ascii="宋体" w:hAnsi="宋体" w:eastAsia="宋体" w:cs="宋体"/>
        </w:rPr>
        <w:t>联网</w:t>
      </w:r>
      <w:r>
        <w:rPr>
          <w:rFonts w:hint="eastAsia" w:ascii="宋体" w:hAnsi="宋体" w:eastAsia="宋体" w:cs="宋体"/>
          <w:lang w:eastAsia="zh-CN"/>
        </w:rPr>
        <w:t>及交互功能应正常，应能</w:t>
      </w:r>
      <w:r>
        <w:rPr>
          <w:rFonts w:hint="eastAsia" w:ascii="宋体" w:hAnsi="宋体" w:eastAsia="宋体" w:cs="宋体"/>
        </w:rPr>
        <w:t>及时交互更新本地数据</w:t>
      </w:r>
      <w:r>
        <w:rPr>
          <w:rFonts w:hint="eastAsia" w:ascii="宋体" w:hAnsi="宋体" w:eastAsia="宋体" w:cs="宋体"/>
          <w:lang w:eastAsia="zh-CN"/>
        </w:rPr>
        <w:t>，</w:t>
      </w:r>
      <w:r>
        <w:rPr>
          <w:rFonts w:hint="eastAsia" w:ascii="宋体" w:hAnsi="宋体" w:eastAsia="宋体" w:cs="宋体"/>
        </w:rPr>
        <w:t>并通过数据采集，智能更新产品软件状态。</w:t>
      </w:r>
    </w:p>
    <w:p>
      <w:pPr>
        <w:pStyle w:val="126"/>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lang w:eastAsia="zh-CN"/>
        </w:rPr>
      </w:pPr>
      <w:r>
        <w:rPr>
          <w:rFonts w:hint="eastAsia" w:ascii="宋体" w:hAnsi="宋体" w:eastAsia="宋体" w:cs="宋体"/>
          <w:highlight w:val="none"/>
          <w:lang w:eastAsia="zh-CN"/>
        </w:rPr>
        <w:t>应能正常实现支付宝、微信、</w:t>
      </w:r>
      <w:r>
        <w:rPr>
          <w:rFonts w:hint="eastAsia" w:ascii="宋体" w:hAnsi="宋体" w:eastAsia="宋体" w:cs="宋体"/>
          <w:highlight w:val="none"/>
          <w:lang w:val="en-US" w:eastAsia="zh-CN"/>
        </w:rPr>
        <w:t>现金、</w:t>
      </w:r>
      <w:r>
        <w:rPr>
          <w:rFonts w:hint="eastAsia" w:ascii="宋体" w:hAnsi="宋体" w:eastAsia="宋体" w:cs="宋体"/>
          <w:highlight w:val="none"/>
          <w:lang w:eastAsia="zh-CN"/>
        </w:rPr>
        <w:t>刷脸等支付功能</w:t>
      </w:r>
      <w:r>
        <w:rPr>
          <w:rFonts w:hint="eastAsia" w:ascii="宋体" w:hAnsi="宋体" w:eastAsia="宋体" w:cs="宋体"/>
          <w:lang w:eastAsia="zh-CN"/>
        </w:rPr>
        <w:t>。</w:t>
      </w:r>
    </w:p>
    <w:p>
      <w:pPr>
        <w:pStyle w:val="126"/>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lang w:eastAsia="zh-CN"/>
        </w:rPr>
      </w:pPr>
      <w:r>
        <w:rPr>
          <w:rFonts w:hint="eastAsia" w:ascii="宋体" w:hAnsi="宋体" w:eastAsia="宋体" w:cs="宋体"/>
          <w:lang w:eastAsia="zh-CN"/>
        </w:rPr>
        <w:t>能够完成商品选购、支付、出货</w:t>
      </w:r>
      <w:r>
        <w:rPr>
          <w:rFonts w:hint="eastAsia" w:ascii="宋体" w:hAnsi="宋体" w:eastAsia="宋体" w:cs="宋体"/>
          <w:highlight w:val="none"/>
          <w:lang w:eastAsia="zh-CN"/>
        </w:rPr>
        <w:t>等功能</w:t>
      </w:r>
      <w:r>
        <w:rPr>
          <w:rFonts w:hint="eastAsia" w:ascii="宋体" w:hAnsi="宋体" w:eastAsia="宋体" w:cs="宋体"/>
          <w:lang w:eastAsia="zh-CN"/>
        </w:rPr>
        <w:t>。</w:t>
      </w:r>
    </w:p>
    <w:p>
      <w:pPr>
        <w:pStyle w:val="124"/>
        <w:spacing w:before="120" w:after="120"/>
        <w:rPr>
          <w:rFonts w:hint="eastAsia"/>
        </w:rPr>
      </w:pPr>
      <w:bookmarkStart w:id="12" w:name="OLE_LINK7"/>
      <w:r>
        <w:rPr>
          <w:rFonts w:hint="eastAsia"/>
          <w:lang w:eastAsia="zh-CN"/>
        </w:rPr>
        <w:t>重复定位误差</w:t>
      </w:r>
    </w:p>
    <w:p>
      <w:pPr>
        <w:pStyle w:val="26"/>
        <w:rPr>
          <w:rFonts w:hint="eastAsia"/>
        </w:rPr>
      </w:pPr>
      <w:r>
        <w:rPr>
          <w:rFonts w:hint="eastAsia"/>
        </w:rPr>
        <w:t>升降机构</w:t>
      </w:r>
      <w:r>
        <w:rPr>
          <w:rFonts w:hint="eastAsia"/>
          <w:lang w:eastAsia="zh-CN"/>
        </w:rPr>
        <w:t>的</w:t>
      </w:r>
      <w:r>
        <w:rPr>
          <w:rFonts w:hint="eastAsia"/>
        </w:rPr>
        <w:t>重复定位误差不应大于3 mm。</w:t>
      </w:r>
      <w:bookmarkEnd w:id="12"/>
    </w:p>
    <w:p>
      <w:pPr>
        <w:pStyle w:val="124"/>
        <w:spacing w:before="120" w:after="120"/>
        <w:rPr>
          <w:rFonts w:hint="eastAsia"/>
        </w:rPr>
      </w:pPr>
      <w:r>
        <w:rPr>
          <w:rFonts w:hint="eastAsia"/>
        </w:rPr>
        <w:t>温度恢复时间</w:t>
      </w:r>
    </w:p>
    <w:p>
      <w:pPr>
        <w:pStyle w:val="26"/>
        <w:ind w:firstLine="420"/>
        <w:rPr>
          <w:rFonts w:hint="eastAsia"/>
        </w:rPr>
      </w:pPr>
      <w:r>
        <w:rPr>
          <w:rFonts w:hint="eastAsia" w:ascii="宋体" w:hAnsi="宋体" w:cs="宋体"/>
          <w:spacing w:val="0"/>
          <w:sz w:val="21"/>
          <w:szCs w:val="21"/>
          <w:shd w:val="clear" w:color="auto" w:fill="auto"/>
          <w:lang w:eastAsia="zh-CN"/>
        </w:rPr>
        <w:t>制冷型售卖机应有温度调节功能，</w:t>
      </w:r>
      <w:r>
        <w:rPr>
          <w:rFonts w:hint="eastAsia"/>
        </w:rPr>
        <w:t>在满负载状态下，温度恢复时间不应大于2 h。</w:t>
      </w:r>
    </w:p>
    <w:p>
      <w:pPr>
        <w:pStyle w:val="124"/>
        <w:spacing w:before="120" w:after="120"/>
        <w:rPr>
          <w:rFonts w:hint="eastAsia"/>
          <w:lang w:eastAsia="zh-CN"/>
        </w:rPr>
      </w:pPr>
      <w:r>
        <w:rPr>
          <w:rFonts w:hint="eastAsia"/>
          <w:lang w:eastAsia="zh-CN"/>
        </w:rPr>
        <w:t>电源适应性</w:t>
      </w:r>
    </w:p>
    <w:p>
      <w:pPr>
        <w:pStyle w:val="26"/>
        <w:ind w:firstLine="420"/>
        <w:rPr>
          <w:rFonts w:hint="eastAsia"/>
        </w:rPr>
      </w:pPr>
      <w:r>
        <w:rPr>
          <w:rFonts w:hint="eastAsia"/>
          <w:lang w:eastAsia="zh-CN"/>
        </w:rPr>
        <w:t>在</w:t>
      </w:r>
      <w:r>
        <w:rPr>
          <w:rFonts w:hint="eastAsia"/>
        </w:rPr>
        <w:t>0</w:t>
      </w:r>
      <w:r>
        <w:rPr>
          <w:rFonts w:hint="eastAsia"/>
          <w:lang w:val="en-US" w:eastAsia="zh-CN"/>
        </w:rPr>
        <w:t>.</w:t>
      </w:r>
      <w:r>
        <w:rPr>
          <w:rFonts w:hint="eastAsia"/>
        </w:rPr>
        <w:t>9倍和1.1倍额定电</w:t>
      </w:r>
      <w:r>
        <w:rPr>
          <w:rFonts w:hint="eastAsia"/>
          <w:lang w:eastAsia="zh-CN"/>
        </w:rPr>
        <w:t>压下应能正常完成下单、支付</w:t>
      </w:r>
      <w:r>
        <w:rPr>
          <w:rFonts w:hint="eastAsia"/>
        </w:rPr>
        <w:t>、</w:t>
      </w:r>
      <w:r>
        <w:rPr>
          <w:rFonts w:hint="eastAsia"/>
          <w:lang w:eastAsia="zh-CN"/>
        </w:rPr>
        <w:t>商品</w:t>
      </w:r>
      <w:r>
        <w:rPr>
          <w:rFonts w:hint="eastAsia"/>
        </w:rPr>
        <w:t>输出</w:t>
      </w:r>
      <w:r>
        <w:rPr>
          <w:rFonts w:hint="eastAsia"/>
          <w:lang w:eastAsia="zh-CN"/>
        </w:rPr>
        <w:t>、信息反馈等功能</w:t>
      </w:r>
      <w:r>
        <w:rPr>
          <w:rFonts w:hint="eastAsia"/>
        </w:rPr>
        <w:t>。</w:t>
      </w:r>
    </w:p>
    <w:p>
      <w:pPr>
        <w:pStyle w:val="124"/>
        <w:spacing w:before="120" w:after="120"/>
        <w:rPr>
          <w:rFonts w:hint="eastAsia" w:eastAsia="宋体"/>
          <w:lang w:eastAsia="zh-CN"/>
        </w:rPr>
      </w:pPr>
      <w:r>
        <w:rPr>
          <w:rFonts w:hint="eastAsia"/>
          <w:lang w:eastAsia="zh-CN"/>
        </w:rPr>
        <w:t>支付时间</w:t>
      </w:r>
    </w:p>
    <w:p>
      <w:pPr>
        <w:pStyle w:val="126"/>
        <w:keepNext w:val="0"/>
        <w:keepLines w:val="0"/>
        <w:pageBreakBefore w:val="0"/>
        <w:widowControl/>
        <w:numPr>
          <w:ilvl w:val="4"/>
          <w:numId w:val="0"/>
        </w:numPr>
        <w:kinsoku/>
        <w:wordWrap/>
        <w:overflowPunct/>
        <w:topLinePunct w:val="0"/>
        <w:autoSpaceDE/>
        <w:autoSpaceDN/>
        <w:bidi w:val="0"/>
        <w:adjustRightInd/>
        <w:snapToGrid/>
        <w:spacing w:before="0" w:beforeLines="0" w:after="0" w:afterLines="0"/>
        <w:ind w:leftChars="0" w:firstLine="420" w:firstLineChars="200"/>
        <w:textAlignment w:val="auto"/>
        <w:rPr>
          <w:rFonts w:hint="eastAsia" w:ascii="宋体" w:hAnsi="宋体" w:eastAsia="宋体" w:cs="宋体"/>
          <w:lang w:val="en-US" w:eastAsia="zh-CN"/>
        </w:rPr>
      </w:pPr>
      <w:r>
        <w:rPr>
          <w:rFonts w:hint="eastAsia" w:ascii="宋体" w:hAnsi="宋体" w:eastAsia="宋体" w:cs="宋体"/>
          <w:lang w:eastAsia="zh-CN"/>
        </w:rPr>
        <w:t>从发起支付到支付完成的非现金支付时间不应超过</w:t>
      </w:r>
      <w:r>
        <w:rPr>
          <w:rFonts w:hint="eastAsia" w:ascii="宋体" w:hAnsi="宋体" w:eastAsia="宋体" w:cs="宋体"/>
          <w:lang w:val="en-US" w:eastAsia="zh-CN"/>
        </w:rPr>
        <w:t xml:space="preserve">5 </w:t>
      </w:r>
      <w:r>
        <w:rPr>
          <w:rFonts w:hint="default" w:ascii="宋体" w:hAnsi="宋体" w:eastAsia="宋体" w:cs="宋体"/>
          <w:lang w:val="en-US" w:eastAsia="zh-CN"/>
        </w:rPr>
        <w:t>s</w:t>
      </w:r>
      <w:r>
        <w:rPr>
          <w:rFonts w:hint="eastAsia" w:ascii="宋体" w:hAnsi="宋体" w:eastAsia="宋体" w:cs="宋体"/>
          <w:lang w:val="en-US" w:eastAsia="zh-CN"/>
        </w:rPr>
        <w:t>。</w:t>
      </w:r>
    </w:p>
    <w:p>
      <w:pPr>
        <w:pStyle w:val="124"/>
        <w:spacing w:before="120" w:after="120"/>
        <w:rPr>
          <w:rFonts w:hint="eastAsia" w:eastAsia="宋体"/>
          <w:lang w:eastAsia="zh-CN"/>
        </w:rPr>
      </w:pPr>
      <w:r>
        <w:rPr>
          <w:rFonts w:hint="eastAsia"/>
          <w:lang w:eastAsia="zh-CN"/>
        </w:rPr>
        <w:t>交付时间</w:t>
      </w:r>
    </w:p>
    <w:p>
      <w:pPr>
        <w:pStyle w:val="26"/>
        <w:ind w:firstLine="420"/>
        <w:rPr>
          <w:rFonts w:hint="eastAsia"/>
        </w:rPr>
      </w:pPr>
      <w:r>
        <w:rPr>
          <w:rFonts w:hint="eastAsia"/>
          <w:lang w:eastAsia="zh-CN"/>
        </w:rPr>
        <w:t>带有销售预制菜功能的售卖机，</w:t>
      </w:r>
      <w:r>
        <w:rPr>
          <w:rFonts w:hint="eastAsia"/>
        </w:rPr>
        <w:t>完成交付预制菜的时间不应大于</w:t>
      </w:r>
      <w:r>
        <w:rPr>
          <w:rFonts w:hint="eastAsia"/>
          <w:lang w:val="en-US" w:eastAsia="zh-CN"/>
        </w:rPr>
        <w:t>60 s</w:t>
      </w:r>
      <w:r>
        <w:rPr>
          <w:rFonts w:hint="eastAsia"/>
          <w:lang w:eastAsia="zh-CN"/>
        </w:rPr>
        <w:t>，不包括食物加热等处理时间；其他售卖机完成交付商品的时间不应大于</w:t>
      </w:r>
      <w:r>
        <w:rPr>
          <w:rFonts w:hint="eastAsia"/>
          <w:lang w:val="en-US" w:eastAsia="zh-CN"/>
        </w:rPr>
        <w:t>30 s</w:t>
      </w:r>
      <w:r>
        <w:rPr>
          <w:rFonts w:hint="eastAsia"/>
        </w:rPr>
        <w:t>。</w:t>
      </w:r>
    </w:p>
    <w:p>
      <w:pPr>
        <w:pStyle w:val="124"/>
        <w:spacing w:before="120" w:after="120"/>
        <w:rPr>
          <w:rFonts w:hint="eastAsia" w:eastAsia="宋体"/>
          <w:lang w:eastAsia="zh-CN"/>
        </w:rPr>
      </w:pPr>
      <w:r>
        <w:rPr>
          <w:rFonts w:hint="eastAsia"/>
          <w:lang w:eastAsia="zh-CN"/>
        </w:rPr>
        <w:t>退款时间</w:t>
      </w:r>
    </w:p>
    <w:p>
      <w:pPr>
        <w:pStyle w:val="26"/>
        <w:ind w:firstLine="420"/>
        <w:rPr>
          <w:rFonts w:hint="eastAsia"/>
        </w:rPr>
      </w:pPr>
      <w:r>
        <w:rPr>
          <w:rFonts w:hint="eastAsia" w:ascii="宋体" w:hAnsi="宋体" w:eastAsia="宋体" w:cs="宋体"/>
          <w:lang w:val="en-US" w:eastAsia="zh-CN"/>
        </w:rPr>
        <w:t>在出货失败等交易不成功时</w:t>
      </w:r>
      <w:r>
        <w:rPr>
          <w:rFonts w:hint="eastAsia" w:ascii="宋体" w:hAnsi="宋体" w:eastAsia="宋体" w:cs="宋体"/>
          <w:lang w:eastAsia="zh-CN"/>
        </w:rPr>
        <w:t>，从发起退款到退款</w:t>
      </w:r>
      <w:r>
        <w:rPr>
          <w:rFonts w:hint="eastAsia" w:hAnsi="宋体" w:cs="宋体"/>
          <w:lang w:eastAsia="zh-CN"/>
        </w:rPr>
        <w:t>完成</w:t>
      </w:r>
      <w:r>
        <w:rPr>
          <w:rFonts w:hint="eastAsia" w:ascii="宋体" w:hAnsi="宋体" w:eastAsia="宋体" w:cs="宋体"/>
          <w:lang w:eastAsia="zh-CN"/>
        </w:rPr>
        <w:t>的时间不应超过6</w:t>
      </w:r>
      <w:r>
        <w:rPr>
          <w:rFonts w:hint="eastAsia" w:ascii="宋体" w:hAnsi="宋体" w:eastAsia="宋体" w:cs="宋体"/>
          <w:lang w:val="en-US" w:eastAsia="zh-CN"/>
        </w:rPr>
        <w:t>0</w:t>
      </w:r>
      <w:r>
        <w:rPr>
          <w:rFonts w:hint="default" w:ascii="宋体" w:hAnsi="宋体" w:eastAsia="宋体" w:cs="宋体"/>
          <w:lang w:val="en-US" w:eastAsia="zh-CN"/>
        </w:rPr>
        <w:t xml:space="preserve"> s</w:t>
      </w:r>
      <w:r>
        <w:rPr>
          <w:rFonts w:hint="eastAsia" w:hAnsi="宋体" w:cs="宋体"/>
          <w:lang w:val="en-US" w:eastAsia="zh-CN"/>
        </w:rPr>
        <w:t>。</w:t>
      </w:r>
    </w:p>
    <w:p>
      <w:pPr>
        <w:pStyle w:val="124"/>
        <w:spacing w:before="120" w:after="120"/>
        <w:rPr>
          <w:rFonts w:hint="eastAsia" w:eastAsia="宋体"/>
          <w:lang w:eastAsia="zh-CN"/>
        </w:rPr>
      </w:pPr>
      <w:r>
        <w:rPr>
          <w:rFonts w:hint="eastAsia"/>
        </w:rPr>
        <w:t>门封气密性</w:t>
      </w:r>
    </w:p>
    <w:p>
      <w:pPr>
        <w:pStyle w:val="26"/>
        <w:keepNext w:val="0"/>
        <w:keepLines w:val="0"/>
        <w:pageBreakBefore w:val="0"/>
        <w:widowControl/>
        <w:kinsoku/>
        <w:wordWrap/>
        <w:overflowPunct/>
        <w:topLinePunct w:val="0"/>
        <w:autoSpaceDE/>
        <w:autoSpaceDN/>
        <w:bidi w:val="0"/>
        <w:adjustRightInd/>
        <w:snapToGrid/>
        <w:ind w:firstLine="420"/>
        <w:textAlignment w:val="auto"/>
        <w:rPr>
          <w:rFonts w:hint="eastAsia"/>
        </w:rPr>
      </w:pPr>
      <w:r>
        <w:rPr>
          <w:rFonts w:hint="eastAsia"/>
        </w:rPr>
        <w:t>箱门关闭后不应有外部空气进入售卖机内，当内外温差大于10</w:t>
      </w:r>
      <w:r>
        <w:rPr>
          <w:rFonts w:hint="eastAsia"/>
          <w:lang w:val="en-US" w:eastAsia="zh-CN"/>
        </w:rPr>
        <w:t xml:space="preserve"> </w:t>
      </w:r>
      <w:r>
        <w:rPr>
          <w:rFonts w:hint="eastAsia"/>
        </w:rPr>
        <w:t>℃时，箱门外边缘的温度与环境温度之差的绝对值应不大于2</w:t>
      </w:r>
      <w:r>
        <w:rPr>
          <w:rFonts w:hint="eastAsia"/>
          <w:lang w:val="en-US" w:eastAsia="zh-CN"/>
        </w:rPr>
        <w:t xml:space="preserve"> </w:t>
      </w:r>
      <w:r>
        <w:rPr>
          <w:rFonts w:hint="eastAsia"/>
        </w:rPr>
        <w:t>℃。</w:t>
      </w:r>
    </w:p>
    <w:p>
      <w:pPr>
        <w:pStyle w:val="124"/>
        <w:spacing w:before="120" w:after="120"/>
        <w:rPr>
          <w:rFonts w:hint="eastAsia"/>
        </w:rPr>
      </w:pPr>
      <w:r>
        <w:rPr>
          <w:rFonts w:hint="eastAsia"/>
        </w:rPr>
        <w:t>销售</w:t>
      </w:r>
      <w:r>
        <w:rPr>
          <w:rFonts w:hint="eastAsia"/>
          <w:lang w:eastAsia="zh-CN"/>
        </w:rPr>
        <w:t>预制菜</w:t>
      </w:r>
      <w:r>
        <w:rPr>
          <w:rFonts w:hint="eastAsia"/>
        </w:rPr>
        <w:t>温度</w:t>
      </w:r>
    </w:p>
    <w:p>
      <w:pPr>
        <w:pStyle w:val="26"/>
        <w:ind w:firstLine="420"/>
        <w:rPr>
          <w:rFonts w:hint="eastAsia" w:eastAsia="宋体"/>
          <w:lang w:eastAsia="zh-CN"/>
        </w:rPr>
      </w:pPr>
      <w:r>
        <w:rPr>
          <w:rFonts w:hint="eastAsia"/>
          <w:lang w:eastAsia="zh-CN"/>
        </w:rPr>
        <w:t>带有销售预制菜功能的售卖机，</w:t>
      </w:r>
      <w:r>
        <w:rPr>
          <w:rFonts w:hint="eastAsia"/>
        </w:rPr>
        <w:t>销售</w:t>
      </w:r>
      <w:r>
        <w:rPr>
          <w:rFonts w:hint="eastAsia"/>
          <w:lang w:eastAsia="zh-CN"/>
        </w:rPr>
        <w:t>预制菜时</w:t>
      </w:r>
      <w:r>
        <w:rPr>
          <w:rFonts w:hint="eastAsia"/>
        </w:rPr>
        <w:t>的温度应</w:t>
      </w:r>
      <w:r>
        <w:rPr>
          <w:rFonts w:hint="eastAsia"/>
          <w:lang w:eastAsia="zh-CN"/>
        </w:rPr>
        <w:t>符合下列</w:t>
      </w:r>
      <w:r>
        <w:rPr>
          <w:rFonts w:hint="eastAsia"/>
        </w:rPr>
        <w:t>要求</w:t>
      </w:r>
      <w:r>
        <w:rPr>
          <w:rFonts w:hint="eastAsia"/>
          <w:lang w:eastAsia="zh-CN"/>
        </w:rPr>
        <w:t>：</w:t>
      </w:r>
    </w:p>
    <w:p>
      <w:pPr>
        <w:pStyle w:val="249"/>
        <w:numPr>
          <w:ilvl w:val="0"/>
          <w:numId w:val="28"/>
        </w:numPr>
        <w:jc w:val="left"/>
        <w:rPr>
          <w:rFonts w:hint="eastAsia"/>
        </w:rPr>
      </w:pPr>
      <w:r>
        <w:rPr>
          <w:rFonts w:hint="eastAsia"/>
        </w:rPr>
        <w:t>冷食</w:t>
      </w:r>
      <w:r>
        <w:rPr>
          <w:rFonts w:hint="eastAsia"/>
          <w:lang w:eastAsia="zh-CN"/>
        </w:rPr>
        <w:t>预制菜</w:t>
      </w:r>
      <w:r>
        <w:rPr>
          <w:rFonts w:hint="eastAsia"/>
        </w:rPr>
        <w:t>温度应</w:t>
      </w:r>
      <w:r>
        <w:rPr>
          <w:rFonts w:hint="eastAsia"/>
          <w:lang w:eastAsia="zh-CN"/>
        </w:rPr>
        <w:t>为</w:t>
      </w:r>
      <w:r>
        <w:rPr>
          <w:rFonts w:hint="eastAsia"/>
        </w:rPr>
        <w:t>2</w:t>
      </w:r>
      <w:r>
        <w:rPr>
          <w:rFonts w:hint="eastAsia"/>
          <w:lang w:val="en-US" w:eastAsia="zh-CN"/>
        </w:rPr>
        <w:t xml:space="preserve"> </w:t>
      </w:r>
      <w:r>
        <w:rPr>
          <w:rFonts w:hint="eastAsia"/>
        </w:rPr>
        <w:t>℃～8</w:t>
      </w:r>
      <w:r>
        <w:rPr>
          <w:rFonts w:hint="eastAsia"/>
          <w:lang w:val="en-US" w:eastAsia="zh-CN"/>
        </w:rPr>
        <w:t xml:space="preserve"> </w:t>
      </w:r>
      <w:r>
        <w:rPr>
          <w:rFonts w:hint="eastAsia"/>
        </w:rPr>
        <w:t>℃</w:t>
      </w:r>
      <w:r>
        <w:rPr>
          <w:rFonts w:hint="eastAsia"/>
          <w:lang w:eastAsia="zh-CN"/>
        </w:rPr>
        <w:t>；</w:t>
      </w:r>
    </w:p>
    <w:p>
      <w:pPr>
        <w:pStyle w:val="249"/>
        <w:numPr>
          <w:ilvl w:val="0"/>
          <w:numId w:val="28"/>
        </w:numPr>
        <w:jc w:val="left"/>
        <w:rPr>
          <w:rFonts w:hint="eastAsia"/>
          <w:highlight w:val="none"/>
        </w:rPr>
      </w:pPr>
      <w:r>
        <w:rPr>
          <w:rFonts w:hint="eastAsia"/>
          <w:highlight w:val="none"/>
        </w:rPr>
        <w:t>热食</w:t>
      </w:r>
      <w:r>
        <w:rPr>
          <w:rFonts w:hint="eastAsia"/>
          <w:highlight w:val="none"/>
          <w:lang w:eastAsia="zh-CN"/>
        </w:rPr>
        <w:t>预制菜</w:t>
      </w:r>
      <w:r>
        <w:rPr>
          <w:rFonts w:hint="eastAsia"/>
          <w:highlight w:val="none"/>
        </w:rPr>
        <w:t>温度应</w:t>
      </w:r>
      <w:r>
        <w:rPr>
          <w:rFonts w:hint="eastAsia"/>
          <w:highlight w:val="none"/>
          <w:lang w:eastAsia="zh-CN"/>
        </w:rPr>
        <w:t>为</w:t>
      </w:r>
      <w:r>
        <w:rPr>
          <w:rFonts w:hint="eastAsia"/>
          <w:highlight w:val="none"/>
          <w:lang w:val="en-US" w:eastAsia="zh-CN"/>
        </w:rPr>
        <w:t xml:space="preserve">50 </w:t>
      </w:r>
      <w:r>
        <w:rPr>
          <w:rFonts w:hint="eastAsia"/>
          <w:highlight w:val="none"/>
        </w:rPr>
        <w:t>℃</w:t>
      </w:r>
      <w:r>
        <w:rPr>
          <w:rFonts w:hint="eastAsia" w:ascii="宋体" w:hAnsi="宋体" w:eastAsia="宋体" w:cs="宋体"/>
          <w:highlight w:val="none"/>
        </w:rPr>
        <w:t>～</w:t>
      </w:r>
      <w:r>
        <w:rPr>
          <w:rFonts w:hint="eastAsia"/>
          <w:highlight w:val="none"/>
        </w:rPr>
        <w:t>8</w:t>
      </w:r>
      <w:r>
        <w:rPr>
          <w:rFonts w:hint="eastAsia"/>
          <w:highlight w:val="none"/>
          <w:lang w:val="en-US" w:eastAsia="zh-CN"/>
        </w:rPr>
        <w:t xml:space="preserve">5 </w:t>
      </w:r>
      <w:r>
        <w:rPr>
          <w:rFonts w:hint="eastAsia"/>
          <w:highlight w:val="none"/>
        </w:rPr>
        <w:t>℃</w:t>
      </w:r>
      <w:r>
        <w:rPr>
          <w:rFonts w:hint="eastAsia"/>
          <w:highlight w:val="none"/>
          <w:lang w:eastAsia="zh-CN"/>
        </w:rPr>
        <w:t>。</w:t>
      </w:r>
    </w:p>
    <w:p>
      <w:pPr>
        <w:pStyle w:val="124"/>
        <w:spacing w:before="120" w:after="120"/>
        <w:rPr>
          <w:rFonts w:hint="eastAsia"/>
        </w:rPr>
      </w:pPr>
      <w:r>
        <w:rPr>
          <w:rFonts w:hint="eastAsia"/>
        </w:rPr>
        <w:t>加热</w:t>
      </w:r>
    </w:p>
    <w:p>
      <w:pPr>
        <w:pStyle w:val="26"/>
        <w:ind w:firstLine="420"/>
        <w:rPr>
          <w:rFonts w:hint="eastAsia"/>
        </w:rPr>
      </w:pPr>
      <w:r>
        <w:rPr>
          <w:rFonts w:hint="eastAsia"/>
        </w:rPr>
        <w:t>带有微波加热功能的售卖机，加热时间应可调节，</w:t>
      </w:r>
      <w:r>
        <w:rPr>
          <w:rFonts w:hint="eastAsia"/>
          <w:lang w:eastAsia="zh-CN"/>
        </w:rPr>
        <w:t>加热</w:t>
      </w:r>
      <w:r>
        <w:rPr>
          <w:rFonts w:hint="eastAsia"/>
        </w:rPr>
        <w:t>性能应符合QB/T 5366—2019中5.9的</w:t>
      </w:r>
      <w:r>
        <w:rPr>
          <w:rFonts w:hint="eastAsia"/>
          <w:lang w:eastAsia="zh-CN"/>
        </w:rPr>
        <w:t>要求</w:t>
      </w:r>
      <w:r>
        <w:rPr>
          <w:rFonts w:hint="eastAsia"/>
        </w:rPr>
        <w:t>。</w:t>
      </w:r>
    </w:p>
    <w:p>
      <w:pPr>
        <w:pStyle w:val="122"/>
        <w:spacing w:before="120" w:after="120"/>
        <w:rPr>
          <w:rFonts w:hint="eastAsia"/>
        </w:rPr>
      </w:pPr>
      <w:r>
        <w:rPr>
          <w:rFonts w:hint="eastAsia"/>
          <w:lang w:eastAsia="zh-CN"/>
        </w:rPr>
        <w:t>智能化</w:t>
      </w:r>
      <w:r>
        <w:rPr>
          <w:rFonts w:hint="eastAsia"/>
        </w:rPr>
        <w:t>功能</w:t>
      </w:r>
    </w:p>
    <w:p>
      <w:pPr>
        <w:pStyle w:val="124"/>
        <w:spacing w:before="120" w:after="120"/>
        <w:rPr>
          <w:rFonts w:hint="eastAsia"/>
        </w:rPr>
      </w:pPr>
      <w:r>
        <w:rPr>
          <w:rFonts w:hint="eastAsia"/>
        </w:rPr>
        <w:t>视频播放</w:t>
      </w:r>
    </w:p>
    <w:p>
      <w:pPr>
        <w:pStyle w:val="26"/>
        <w:ind w:firstLine="420"/>
        <w:rPr>
          <w:rFonts w:hint="eastAsia"/>
        </w:rPr>
      </w:pPr>
      <w:r>
        <w:rPr>
          <w:rFonts w:hint="eastAsia"/>
        </w:rPr>
        <w:t>应</w:t>
      </w:r>
      <w:r>
        <w:rPr>
          <w:rFonts w:hint="eastAsia"/>
          <w:lang w:eastAsia="zh-CN"/>
        </w:rPr>
        <w:t>能</w:t>
      </w:r>
      <w:r>
        <w:rPr>
          <w:rFonts w:hint="eastAsia"/>
        </w:rPr>
        <w:t>通过有线网络、</w:t>
      </w:r>
      <w:r>
        <w:rPr>
          <w:rFonts w:hint="eastAsia"/>
          <w:lang w:val="en-US" w:eastAsia="zh-CN"/>
        </w:rPr>
        <w:t>WIFI</w:t>
      </w:r>
      <w:r>
        <w:rPr>
          <w:rFonts w:hint="eastAsia"/>
        </w:rPr>
        <w:t>、移动网络等播放、更新、发布多媒体视频。</w:t>
      </w:r>
    </w:p>
    <w:p>
      <w:pPr>
        <w:pStyle w:val="124"/>
        <w:spacing w:before="120" w:after="120"/>
        <w:rPr>
          <w:rFonts w:hint="eastAsia"/>
        </w:rPr>
      </w:pPr>
      <w:r>
        <w:rPr>
          <w:rFonts w:hint="eastAsia"/>
        </w:rPr>
        <w:t>远程控制</w:t>
      </w:r>
    </w:p>
    <w:p>
      <w:pPr>
        <w:pStyle w:val="26"/>
        <w:ind w:firstLine="420"/>
      </w:pPr>
      <w:r>
        <w:rPr>
          <w:rFonts w:hint="eastAsia"/>
          <w:highlight w:val="none"/>
        </w:rPr>
        <w:t>应具备远程</w:t>
      </w:r>
      <w:r>
        <w:rPr>
          <w:rFonts w:hint="eastAsia"/>
          <w:highlight w:val="none"/>
          <w:lang w:eastAsia="zh-CN"/>
        </w:rPr>
        <w:t>诊断、</w:t>
      </w:r>
      <w:r>
        <w:rPr>
          <w:rFonts w:hint="eastAsia"/>
        </w:rPr>
        <w:t>控温、复位、视频切换</w:t>
      </w:r>
      <w:r>
        <w:rPr>
          <w:rFonts w:hint="eastAsia"/>
          <w:lang w:eastAsia="zh-CN"/>
        </w:rPr>
        <w:t>、照明和设备及售卖状态监控</w:t>
      </w:r>
      <w:r>
        <w:rPr>
          <w:rFonts w:hint="eastAsia"/>
        </w:rPr>
        <w:t>等功能。</w:t>
      </w:r>
    </w:p>
    <w:p>
      <w:pPr>
        <w:pStyle w:val="124"/>
        <w:spacing w:before="120" w:after="120"/>
        <w:rPr>
          <w:rFonts w:hint="eastAsia"/>
        </w:rPr>
      </w:pPr>
      <w:r>
        <w:rPr>
          <w:rFonts w:hint="eastAsia"/>
          <w:lang w:eastAsia="zh-CN"/>
        </w:rPr>
        <w:t>数据和信息管理</w:t>
      </w:r>
    </w:p>
    <w:p>
      <w:pPr>
        <w:pStyle w:val="126"/>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rPr>
      </w:pPr>
      <w:r>
        <w:rPr>
          <w:rFonts w:hint="eastAsia" w:ascii="宋体" w:hAnsi="宋体" w:eastAsia="宋体" w:cs="宋体"/>
        </w:rPr>
        <w:t>应具备</w:t>
      </w:r>
      <w:r>
        <w:rPr>
          <w:rFonts w:hint="eastAsia" w:ascii="宋体" w:hAnsi="宋体" w:eastAsia="宋体" w:cs="宋体"/>
          <w:lang w:eastAsia="zh-CN"/>
        </w:rPr>
        <w:t>数据存储、数据上传、</w:t>
      </w:r>
      <w:r>
        <w:rPr>
          <w:rFonts w:hint="eastAsia" w:ascii="宋体" w:hAnsi="宋体" w:eastAsia="宋体" w:cs="宋体"/>
        </w:rPr>
        <w:t>数据查询、数据统计、数据核算、故障信息收集等功能。</w:t>
      </w:r>
    </w:p>
    <w:p>
      <w:pPr>
        <w:pStyle w:val="126"/>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lang w:eastAsia="zh-CN"/>
        </w:rPr>
      </w:pPr>
      <w:r>
        <w:rPr>
          <w:rFonts w:hint="eastAsia" w:ascii="宋体" w:hAnsi="宋体" w:eastAsia="宋体" w:cs="宋体"/>
          <w:lang w:eastAsia="zh-CN"/>
        </w:rPr>
        <w:t>应能进行预制菜库存、更新、上架等信息管理。</w:t>
      </w:r>
    </w:p>
    <w:p>
      <w:pPr>
        <w:pStyle w:val="124"/>
        <w:spacing w:before="120" w:after="120"/>
        <w:rPr>
          <w:rFonts w:hint="eastAsia"/>
          <w:lang w:eastAsia="zh-CN"/>
        </w:rPr>
      </w:pPr>
      <w:r>
        <w:rPr>
          <w:rFonts w:hint="eastAsia"/>
          <w:lang w:eastAsia="zh-CN"/>
        </w:rPr>
        <w:t>订单生成、支付和退款</w:t>
      </w:r>
    </w:p>
    <w:p>
      <w:pPr>
        <w:pStyle w:val="126"/>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lang w:eastAsia="zh-CN"/>
        </w:rPr>
      </w:pPr>
      <w:r>
        <w:rPr>
          <w:rFonts w:hint="eastAsia" w:ascii="宋体" w:hAnsi="宋体" w:eastAsia="宋体" w:cs="宋体"/>
          <w:lang w:eastAsia="zh-CN"/>
        </w:rPr>
        <w:t>应能根据商品单价和数量等信息进行计价，能自动生成订单和下单。</w:t>
      </w:r>
    </w:p>
    <w:p>
      <w:pPr>
        <w:pStyle w:val="126"/>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lang w:val="en-US" w:eastAsia="zh-CN"/>
        </w:rPr>
      </w:pPr>
      <w:r>
        <w:rPr>
          <w:rFonts w:hint="eastAsia" w:ascii="宋体" w:hAnsi="宋体" w:eastAsia="宋体" w:cs="宋体"/>
          <w:lang w:eastAsia="zh-CN"/>
        </w:rPr>
        <w:t>应有非现金支付（如微信、支付宝、刷脸</w:t>
      </w:r>
      <w:r>
        <w:rPr>
          <w:rFonts w:hint="eastAsia" w:ascii="宋体" w:hAnsi="宋体" w:eastAsia="宋体" w:cs="宋体"/>
          <w:highlight w:val="none"/>
          <w:lang w:eastAsia="zh-CN"/>
        </w:rPr>
        <w:t>等</w:t>
      </w:r>
      <w:r>
        <w:rPr>
          <w:rFonts w:hint="eastAsia" w:ascii="宋体" w:hAnsi="宋体" w:eastAsia="宋体" w:cs="宋体"/>
          <w:lang w:eastAsia="zh-CN"/>
        </w:rPr>
        <w:t>）</w:t>
      </w:r>
      <w:r>
        <w:rPr>
          <w:rFonts w:hint="eastAsia" w:ascii="宋体" w:hAnsi="宋体" w:eastAsia="宋体" w:cs="宋体"/>
          <w:highlight w:val="none"/>
          <w:lang w:eastAsia="zh-CN"/>
        </w:rPr>
        <w:t>智能支付方式</w:t>
      </w:r>
      <w:r>
        <w:rPr>
          <w:rFonts w:hint="eastAsia" w:ascii="宋体" w:hAnsi="宋体" w:eastAsia="宋体" w:cs="宋体"/>
          <w:highlight w:val="none"/>
          <w:lang w:val="en-US" w:eastAsia="zh-CN"/>
        </w:rPr>
        <w:t>。</w:t>
      </w:r>
    </w:p>
    <w:p>
      <w:pPr>
        <w:pStyle w:val="126"/>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lang w:val="en-US" w:eastAsia="zh-CN"/>
        </w:rPr>
      </w:pPr>
      <w:r>
        <w:rPr>
          <w:rFonts w:hint="eastAsia" w:ascii="宋体" w:hAnsi="宋体" w:eastAsia="宋体" w:cs="宋体"/>
          <w:lang w:val="en-US" w:eastAsia="zh-CN"/>
        </w:rPr>
        <w:t>在出货失败等交易不成功时</w:t>
      </w:r>
      <w:r>
        <w:rPr>
          <w:rFonts w:hint="eastAsia" w:ascii="宋体" w:hAnsi="宋体" w:eastAsia="宋体" w:cs="宋体"/>
          <w:lang w:eastAsia="zh-CN"/>
        </w:rPr>
        <w:t>，售卖机应能及时检测并自动向服务器发起退款动作，并能提供</w:t>
      </w:r>
      <w:r>
        <w:rPr>
          <w:rFonts w:hint="eastAsia" w:ascii="宋体" w:hAnsi="宋体" w:eastAsia="宋体" w:cs="宋体"/>
          <w:lang w:val="en-US" w:eastAsia="zh-CN"/>
        </w:rPr>
        <w:t>退款流永明细数据。当自动退款失败时，应能够人工进行退款操作。</w:t>
      </w:r>
    </w:p>
    <w:p>
      <w:pPr>
        <w:pStyle w:val="124"/>
        <w:spacing w:before="120" w:after="120"/>
        <w:rPr>
          <w:rFonts w:hint="eastAsia"/>
          <w:lang w:val="en-US" w:eastAsia="zh-CN"/>
        </w:rPr>
      </w:pPr>
      <w:r>
        <w:rPr>
          <w:rFonts w:hint="eastAsia"/>
          <w:lang w:val="en-US" w:eastAsia="zh-CN"/>
        </w:rPr>
        <w:t>监控与报警</w:t>
      </w:r>
    </w:p>
    <w:p>
      <w:pPr>
        <w:pStyle w:val="26"/>
        <w:ind w:firstLine="420"/>
        <w:rPr>
          <w:rFonts w:hint="eastAsia"/>
          <w:highlight w:val="none"/>
          <w:lang w:val="en-US" w:eastAsia="zh-CN"/>
        </w:rPr>
      </w:pPr>
      <w:r>
        <w:rPr>
          <w:rFonts w:hint="eastAsia"/>
          <w:highlight w:val="none"/>
          <w:lang w:val="en-US" w:eastAsia="zh-CN"/>
        </w:rPr>
        <w:t>应具有温度、库存、销售、设备状态等监控功能，当出现异常时应能及时报警。</w:t>
      </w:r>
    </w:p>
    <w:p>
      <w:pPr>
        <w:pStyle w:val="122"/>
        <w:spacing w:before="120" w:after="120"/>
        <w:rPr>
          <w:rFonts w:hint="eastAsia"/>
        </w:rPr>
      </w:pPr>
      <w:r>
        <w:rPr>
          <w:rFonts w:hint="eastAsia"/>
          <w:lang w:eastAsia="zh-CN"/>
        </w:rPr>
        <w:t>卫生</w:t>
      </w:r>
      <w:r>
        <w:rPr>
          <w:rFonts w:hint="eastAsia"/>
        </w:rPr>
        <w:t>安全</w:t>
      </w:r>
    </w:p>
    <w:p>
      <w:pPr>
        <w:pStyle w:val="124"/>
        <w:spacing w:before="120" w:after="120"/>
        <w:rPr>
          <w:rFonts w:hint="eastAsia"/>
        </w:rPr>
      </w:pPr>
      <w:bookmarkStart w:id="13" w:name="OLE_LINK13"/>
      <w:r>
        <w:rPr>
          <w:rFonts w:hint="eastAsia"/>
          <w:lang w:eastAsia="zh-CN"/>
        </w:rPr>
        <w:t>外壳</w:t>
      </w:r>
      <w:r>
        <w:rPr>
          <w:rFonts w:hint="eastAsia"/>
        </w:rPr>
        <w:t>防护等级</w:t>
      </w:r>
    </w:p>
    <w:p>
      <w:pPr>
        <w:pStyle w:val="26"/>
        <w:rPr>
          <w:rFonts w:hint="eastAsia"/>
        </w:rPr>
      </w:pPr>
      <w:r>
        <w:rPr>
          <w:rFonts w:hint="eastAsia"/>
        </w:rPr>
        <w:t>应不低于GB/T 4208—2017规定的</w:t>
      </w:r>
      <w:r>
        <w:rPr>
          <w:rFonts w:hint="eastAsia"/>
          <w:highlight w:val="none"/>
        </w:rPr>
        <w:t>IP54。</w:t>
      </w:r>
      <w:bookmarkEnd w:id="13"/>
    </w:p>
    <w:p>
      <w:pPr>
        <w:pStyle w:val="124"/>
        <w:spacing w:before="120" w:after="120"/>
        <w:rPr>
          <w:rFonts w:hint="eastAsia"/>
          <w:lang w:eastAsia="zh-CN"/>
        </w:rPr>
      </w:pPr>
      <w:bookmarkStart w:id="14" w:name="OLE_LINK12"/>
      <w:r>
        <w:rPr>
          <w:rFonts w:hint="eastAsia"/>
          <w:lang w:eastAsia="zh-CN"/>
        </w:rPr>
        <w:t>防夹手能力</w:t>
      </w:r>
    </w:p>
    <w:p>
      <w:pPr>
        <w:pStyle w:val="26"/>
        <w:rPr>
          <w:rFonts w:hint="eastAsia"/>
          <w:lang w:eastAsia="zh-CN"/>
        </w:rPr>
      </w:pPr>
      <w:r>
        <w:rPr>
          <w:rFonts w:hint="eastAsia"/>
          <w:lang w:eastAsia="zh-CN"/>
        </w:rPr>
        <w:t>取货口应设置有效的防夹手保护装置</w:t>
      </w:r>
      <w:bookmarkEnd w:id="14"/>
      <w:r>
        <w:rPr>
          <w:rFonts w:hint="eastAsia"/>
          <w:lang w:eastAsia="zh-CN"/>
        </w:rPr>
        <w:t>。</w:t>
      </w:r>
    </w:p>
    <w:p>
      <w:pPr>
        <w:pStyle w:val="124"/>
        <w:spacing w:before="120" w:after="120"/>
        <w:rPr>
          <w:rFonts w:hint="eastAsia"/>
        </w:rPr>
      </w:pPr>
      <w:bookmarkStart w:id="15" w:name="OLE_LINK11"/>
      <w:r>
        <w:rPr>
          <w:rFonts w:hint="eastAsia"/>
        </w:rPr>
        <w:t>噪声</w:t>
      </w:r>
    </w:p>
    <w:p>
      <w:pPr>
        <w:pStyle w:val="26"/>
        <w:ind w:firstLine="420"/>
        <w:rPr>
          <w:rFonts w:hint="eastAsia"/>
        </w:rPr>
      </w:pPr>
      <w:r>
        <w:rPr>
          <w:rFonts w:hint="eastAsia"/>
        </w:rPr>
        <w:t>待机状态下</w:t>
      </w:r>
      <w:r>
        <w:rPr>
          <w:rFonts w:hint="eastAsia"/>
          <w:lang w:eastAsia="zh-CN"/>
        </w:rPr>
        <w:t>的</w:t>
      </w:r>
      <w:r>
        <w:rPr>
          <w:rFonts w:hint="eastAsia"/>
        </w:rPr>
        <w:t>噪声声压级不应大</w:t>
      </w:r>
      <w:r>
        <w:rPr>
          <w:rFonts w:hint="eastAsia"/>
          <w:highlight w:val="none"/>
        </w:rPr>
        <w:t>于</w:t>
      </w:r>
      <w:r>
        <w:rPr>
          <w:rFonts w:hint="eastAsia"/>
          <w:color w:val="FF0000"/>
          <w:highlight w:val="none"/>
          <w:lang w:val="en-US" w:eastAsia="zh-CN"/>
        </w:rPr>
        <w:t>48</w:t>
      </w:r>
      <w:r>
        <w:rPr>
          <w:rFonts w:hint="eastAsia"/>
          <w:highlight w:val="none"/>
        </w:rPr>
        <w:t xml:space="preserve"> dB(A)</w:t>
      </w:r>
      <w:r>
        <w:rPr>
          <w:rFonts w:hint="eastAsia"/>
        </w:rPr>
        <w:t>。</w:t>
      </w:r>
      <w:bookmarkEnd w:id="15"/>
    </w:p>
    <w:p>
      <w:pPr>
        <w:pStyle w:val="124"/>
        <w:spacing w:before="120" w:after="120"/>
        <w:rPr>
          <w:rFonts w:hint="eastAsia"/>
        </w:rPr>
      </w:pPr>
      <w:bookmarkStart w:id="16" w:name="OLE_LINK8"/>
      <w:r>
        <w:rPr>
          <w:rFonts w:hint="eastAsia"/>
          <w:lang w:eastAsia="zh-CN"/>
        </w:rPr>
        <w:t>电气</w:t>
      </w:r>
      <w:r>
        <w:rPr>
          <w:rFonts w:hint="eastAsia"/>
        </w:rPr>
        <w:t>安全</w:t>
      </w:r>
    </w:p>
    <w:p>
      <w:pPr>
        <w:pStyle w:val="26"/>
        <w:ind w:firstLine="420"/>
        <w:rPr>
          <w:rFonts w:hint="eastAsia"/>
        </w:rPr>
      </w:pPr>
      <w:r>
        <w:rPr>
          <w:rFonts w:hint="eastAsia"/>
        </w:rPr>
        <w:t>应符合GB</w:t>
      </w:r>
      <w:r>
        <w:rPr>
          <w:rFonts w:hint="eastAsia"/>
          <w:lang w:val="en-US" w:eastAsia="zh-CN"/>
        </w:rPr>
        <w:t>/T</w:t>
      </w:r>
      <w:r>
        <w:rPr>
          <w:rFonts w:hint="eastAsia"/>
        </w:rPr>
        <w:t xml:space="preserve"> 4706.1、GB</w:t>
      </w:r>
      <w:r>
        <w:rPr>
          <w:rFonts w:hint="eastAsia"/>
          <w:lang w:val="en-US" w:eastAsia="zh-CN"/>
        </w:rPr>
        <w:t>/T</w:t>
      </w:r>
      <w:r>
        <w:rPr>
          <w:rFonts w:hint="eastAsia"/>
        </w:rPr>
        <w:t xml:space="preserve"> 4706.72的</w:t>
      </w:r>
      <w:r>
        <w:rPr>
          <w:rFonts w:hint="eastAsia"/>
          <w:lang w:eastAsia="zh-CN"/>
        </w:rPr>
        <w:t>要求</w:t>
      </w:r>
      <w:r>
        <w:rPr>
          <w:rFonts w:hint="eastAsia"/>
        </w:rPr>
        <w:t>。</w:t>
      </w:r>
      <w:bookmarkEnd w:id="16"/>
    </w:p>
    <w:p>
      <w:pPr>
        <w:pStyle w:val="124"/>
        <w:spacing w:before="120" w:after="120"/>
        <w:rPr>
          <w:rFonts w:hint="eastAsia" w:eastAsia="宋体"/>
          <w:lang w:eastAsia="zh-CN"/>
        </w:rPr>
      </w:pPr>
      <w:bookmarkStart w:id="17" w:name="OLE_LINK9"/>
      <w:r>
        <w:rPr>
          <w:rFonts w:hint="eastAsia"/>
          <w:lang w:eastAsia="zh-CN"/>
        </w:rPr>
        <w:t>卫生</w:t>
      </w:r>
    </w:p>
    <w:p>
      <w:pPr>
        <w:pStyle w:val="26"/>
        <w:rPr>
          <w:rFonts w:hint="eastAsia"/>
          <w:lang w:eastAsia="zh-CN"/>
        </w:rPr>
      </w:pPr>
      <w:r>
        <w:rPr>
          <w:rFonts w:hint="eastAsia" w:hAnsi="宋体" w:cs="宋体"/>
          <w:lang w:eastAsia="zh-CN"/>
        </w:rPr>
        <w:t>应符合</w:t>
      </w:r>
      <w:r>
        <w:rPr>
          <w:rFonts w:hint="eastAsia" w:ascii="宋体" w:hAnsi="宋体" w:eastAsia="宋体" w:cs="宋体"/>
        </w:rPr>
        <w:t>GB/T</w:t>
      </w:r>
      <w:r>
        <w:rPr>
          <w:rFonts w:hint="eastAsia" w:ascii="宋体" w:hAnsi="宋体" w:eastAsia="宋体" w:cs="宋体"/>
          <w:lang w:val="en-US" w:eastAsia="zh-CN"/>
        </w:rPr>
        <w:t xml:space="preserve"> </w:t>
      </w:r>
      <w:r>
        <w:rPr>
          <w:rFonts w:hint="eastAsia" w:ascii="宋体" w:hAnsi="宋体" w:eastAsia="宋体" w:cs="宋体"/>
        </w:rPr>
        <w:t>19891</w:t>
      </w:r>
      <w:r>
        <w:rPr>
          <w:rFonts w:hint="eastAsia" w:hAnsi="宋体" w:cs="宋体"/>
          <w:lang w:eastAsia="zh-CN"/>
        </w:rPr>
        <w:t>和</w:t>
      </w:r>
      <w:r>
        <w:rPr>
          <w:rFonts w:hint="eastAsia" w:ascii="宋体" w:hAnsi="宋体" w:eastAsia="宋体" w:cs="宋体"/>
        </w:rPr>
        <w:t>GB</w:t>
      </w:r>
      <w:r>
        <w:rPr>
          <w:rFonts w:hint="eastAsia" w:ascii="宋体" w:hAnsi="宋体" w:eastAsia="宋体" w:cs="宋体"/>
          <w:lang w:val="en-US" w:eastAsia="zh-CN"/>
        </w:rPr>
        <w:t xml:space="preserve"> </w:t>
      </w:r>
      <w:r>
        <w:rPr>
          <w:rFonts w:hint="eastAsia" w:ascii="宋体" w:hAnsi="宋体" w:eastAsia="宋体" w:cs="宋体"/>
        </w:rPr>
        <w:t>16798的</w:t>
      </w:r>
      <w:r>
        <w:rPr>
          <w:rFonts w:hint="eastAsia" w:ascii="宋体" w:hAnsi="宋体" w:eastAsia="宋体" w:cs="宋体"/>
          <w:lang w:eastAsia="zh-CN"/>
        </w:rPr>
        <w:t>要求</w:t>
      </w:r>
      <w:bookmarkEnd w:id="17"/>
      <w:r>
        <w:rPr>
          <w:rFonts w:hint="eastAsia" w:hAnsi="宋体" w:cs="宋体"/>
          <w:lang w:eastAsia="zh-CN"/>
        </w:rPr>
        <w:t>。</w:t>
      </w:r>
    </w:p>
    <w:p>
      <w:pPr>
        <w:pStyle w:val="124"/>
        <w:spacing w:before="156" w:after="156"/>
        <w:rPr>
          <w:color w:val="auto"/>
          <w:szCs w:val="21"/>
        </w:rPr>
      </w:pPr>
      <w:r>
        <w:rPr>
          <w:rFonts w:hint="eastAsia"/>
          <w:color w:val="auto"/>
          <w:szCs w:val="21"/>
        </w:rPr>
        <w:t>电磁兼容</w:t>
      </w:r>
    </w:p>
    <w:p>
      <w:pPr>
        <w:pStyle w:val="26"/>
        <w:ind w:firstLine="420"/>
        <w:rPr>
          <w:rFonts w:hint="eastAsia" w:ascii="宋体" w:hAnsi="Times New Roman" w:eastAsia="宋体" w:cs="Times New Roman"/>
        </w:rPr>
      </w:pPr>
      <w:r>
        <w:rPr>
          <w:rFonts w:hint="eastAsia" w:ascii="宋体" w:hAnsi="Times New Roman" w:eastAsia="宋体" w:cs="Times New Roman"/>
        </w:rPr>
        <w:t>应符合GB 4343.1、GB</w:t>
      </w:r>
      <w:r>
        <w:rPr>
          <w:rFonts w:hint="default" w:ascii="宋体" w:hAnsi="Times New Roman" w:eastAsia="宋体" w:cs="Times New Roman"/>
          <w:lang w:val="en-US"/>
        </w:rPr>
        <w:t>/T</w:t>
      </w:r>
      <w:r>
        <w:rPr>
          <w:rFonts w:hint="eastAsia" w:ascii="宋体" w:hAnsi="Times New Roman" w:eastAsia="宋体" w:cs="Times New Roman"/>
        </w:rPr>
        <w:t xml:space="preserve"> 4343.2和GB 17625.1的要求。</w:t>
      </w:r>
    </w:p>
    <w:p>
      <w:pPr>
        <w:pStyle w:val="122"/>
        <w:spacing w:before="120" w:after="120"/>
        <w:rPr>
          <w:rFonts w:hint="eastAsia"/>
        </w:rPr>
      </w:pPr>
      <w:r>
        <w:rPr>
          <w:rFonts w:hint="eastAsia"/>
        </w:rPr>
        <w:t>能</w:t>
      </w:r>
      <w:r>
        <w:rPr>
          <w:rFonts w:hint="eastAsia"/>
          <w:lang w:eastAsia="zh-CN"/>
        </w:rPr>
        <w:t>耗</w:t>
      </w:r>
    </w:p>
    <w:p>
      <w:pPr>
        <w:pStyle w:val="124"/>
        <w:spacing w:before="120" w:after="120"/>
        <w:rPr>
          <w:rFonts w:hint="eastAsia"/>
        </w:rPr>
      </w:pPr>
      <w:bookmarkStart w:id="18" w:name="OLE_LINK10"/>
      <w:r>
        <w:rPr>
          <w:rFonts w:hint="eastAsia"/>
        </w:rPr>
        <w:t>待机日耗电量</w:t>
      </w:r>
      <w:bookmarkEnd w:id="18"/>
    </w:p>
    <w:p>
      <w:pPr>
        <w:pStyle w:val="26"/>
        <w:ind w:firstLine="420"/>
        <w:rPr>
          <w:rFonts w:hint="eastAsia"/>
        </w:rPr>
      </w:pPr>
      <w:r>
        <w:rPr>
          <w:rFonts w:hint="eastAsia"/>
        </w:rPr>
        <w:t>不应大于额定值。</w:t>
      </w:r>
    </w:p>
    <w:p>
      <w:pPr>
        <w:pStyle w:val="124"/>
        <w:spacing w:before="120" w:after="120"/>
        <w:rPr>
          <w:rFonts w:hint="eastAsia" w:eastAsia="宋体"/>
          <w:lang w:eastAsia="zh-CN"/>
        </w:rPr>
      </w:pPr>
      <w:r>
        <w:rPr>
          <w:rFonts w:hint="eastAsia"/>
          <w:lang w:eastAsia="zh-CN"/>
        </w:rPr>
        <w:t>能效等级</w:t>
      </w:r>
    </w:p>
    <w:p>
      <w:pPr>
        <w:pStyle w:val="26"/>
        <w:ind w:firstLine="420"/>
        <w:rPr>
          <w:rFonts w:hint="eastAsia"/>
        </w:rPr>
      </w:pPr>
      <w:r>
        <w:rPr>
          <w:rFonts w:hint="eastAsia"/>
        </w:rPr>
        <w:t>不应低于GB 26920.3—2019规定的3级。</w:t>
      </w:r>
    </w:p>
    <w:p>
      <w:pPr>
        <w:pStyle w:val="122"/>
        <w:spacing w:before="120" w:after="120"/>
        <w:rPr>
          <w:rFonts w:hint="eastAsia"/>
        </w:rPr>
      </w:pPr>
      <w:r>
        <w:rPr>
          <w:rFonts w:hint="eastAsia"/>
        </w:rPr>
        <w:t>有害物质限量</w:t>
      </w:r>
    </w:p>
    <w:p>
      <w:pPr>
        <w:pStyle w:val="26"/>
        <w:ind w:firstLine="420"/>
        <w:rPr>
          <w:rFonts w:hint="eastAsia"/>
        </w:rPr>
      </w:pPr>
      <w:r>
        <w:rPr>
          <w:rFonts w:hint="eastAsia"/>
          <w:color w:val="auto"/>
          <w:szCs w:val="21"/>
        </w:rPr>
        <w:t>应符合GB/T 26572的要求。</w:t>
      </w:r>
    </w:p>
    <w:p>
      <w:pPr>
        <w:pStyle w:val="122"/>
        <w:spacing w:before="120" w:after="120"/>
        <w:rPr>
          <w:rFonts w:hint="eastAsia"/>
        </w:rPr>
      </w:pPr>
      <w:bookmarkStart w:id="19" w:name="OLE_LINK4"/>
      <w:r>
        <w:rPr>
          <w:rFonts w:hint="eastAsia"/>
        </w:rPr>
        <w:t>环境适应性</w:t>
      </w:r>
      <w:bookmarkEnd w:id="19"/>
    </w:p>
    <w:p>
      <w:pPr>
        <w:pStyle w:val="134"/>
        <w:keepNext w:val="0"/>
        <w:keepLines w:val="0"/>
        <w:pageBreakBefore w:val="0"/>
        <w:widowControl/>
        <w:kinsoku/>
        <w:wordWrap/>
        <w:overflowPunct/>
        <w:topLinePunct w:val="0"/>
        <w:autoSpaceDE/>
        <w:autoSpaceDN/>
        <w:bidi w:val="0"/>
        <w:adjustRightInd/>
        <w:snapToGrid/>
        <w:spacing w:before="0" w:after="0"/>
        <w:textAlignment w:val="auto"/>
        <w:rPr>
          <w:rFonts w:hint="eastAsia" w:ascii="宋体" w:hAnsi="Times New Roman" w:eastAsia="宋体" w:cs="Times New Roman"/>
        </w:rPr>
      </w:pPr>
      <w:r>
        <w:rPr>
          <w:rFonts w:hint="eastAsia" w:ascii="宋体" w:hAnsi="Times New Roman" w:eastAsia="宋体" w:cs="Times New Roman"/>
        </w:rPr>
        <w:t>经</w:t>
      </w:r>
      <w:r>
        <w:rPr>
          <w:rFonts w:hint="eastAsia" w:ascii="宋体" w:hAnsi="Times New Roman" w:eastAsia="宋体" w:cs="Times New Roman"/>
          <w:lang w:eastAsia="zh-CN"/>
        </w:rPr>
        <w:t>低温、高温和恒定湿热试验后，</w:t>
      </w:r>
      <w:r>
        <w:rPr>
          <w:rFonts w:hint="eastAsia" w:ascii="宋体" w:hAnsi="Times New Roman" w:eastAsia="宋体" w:cs="Times New Roman"/>
        </w:rPr>
        <w:t>应能正常工作。</w:t>
      </w:r>
    </w:p>
    <w:p>
      <w:pPr>
        <w:pStyle w:val="134"/>
        <w:keepNext w:val="0"/>
        <w:keepLines w:val="0"/>
        <w:pageBreakBefore w:val="0"/>
        <w:widowControl/>
        <w:kinsoku/>
        <w:wordWrap/>
        <w:overflowPunct/>
        <w:topLinePunct w:val="0"/>
        <w:autoSpaceDE/>
        <w:autoSpaceDN/>
        <w:bidi w:val="0"/>
        <w:adjustRightInd/>
        <w:snapToGrid/>
        <w:spacing w:before="0" w:after="0"/>
        <w:textAlignment w:val="auto"/>
        <w:rPr>
          <w:rFonts w:hint="eastAsia"/>
        </w:rPr>
      </w:pPr>
      <w:r>
        <w:rPr>
          <w:rFonts w:hint="eastAsia"/>
        </w:rPr>
        <w:t>金属部件经耐腐蚀性试验后，不应低于GB/T 6461—2002规定的</w:t>
      </w:r>
      <w:r>
        <w:rPr>
          <w:rFonts w:hint="eastAsia"/>
          <w:lang w:eastAsia="zh-CN"/>
        </w:rPr>
        <w:t>外观评级（</w:t>
      </w:r>
      <w:r>
        <w:rPr>
          <w:rFonts w:hint="eastAsia"/>
          <w:i/>
          <w:iCs/>
        </w:rPr>
        <w:t>R</w:t>
      </w:r>
      <w:r>
        <w:rPr>
          <w:rFonts w:hint="eastAsia"/>
          <w:vertAlign w:val="subscript"/>
          <w:lang w:val="en-US" w:eastAsia="zh-CN"/>
        </w:rPr>
        <w:t>A</w:t>
      </w:r>
      <w:r>
        <w:rPr>
          <w:rFonts w:hint="eastAsia"/>
          <w:lang w:val="en-US" w:eastAsia="zh-CN"/>
        </w:rPr>
        <w:t>）8级以上</w:t>
      </w:r>
      <w:r>
        <w:rPr>
          <w:rFonts w:hint="eastAsia"/>
        </w:rPr>
        <w:t>。</w:t>
      </w:r>
    </w:p>
    <w:p>
      <w:pPr>
        <w:pStyle w:val="120"/>
        <w:spacing w:before="240" w:after="240"/>
        <w:rPr>
          <w:rFonts w:hint="eastAsia"/>
        </w:rPr>
      </w:pPr>
      <w:r>
        <w:rPr>
          <w:rFonts w:hint="eastAsia"/>
        </w:rPr>
        <w:t>试验方法</w:t>
      </w:r>
    </w:p>
    <w:p>
      <w:pPr>
        <w:pStyle w:val="122"/>
        <w:spacing w:before="120" w:after="120"/>
        <w:rPr>
          <w:rFonts w:hint="eastAsia"/>
        </w:rPr>
      </w:pPr>
      <w:r>
        <w:rPr>
          <w:rFonts w:hint="eastAsia"/>
          <w:lang w:eastAsia="zh-CN"/>
        </w:rPr>
        <w:t>材料和制冷系统</w:t>
      </w:r>
    </w:p>
    <w:p>
      <w:pPr>
        <w:pStyle w:val="134"/>
        <w:keepNext w:val="0"/>
        <w:keepLines w:val="0"/>
        <w:pageBreakBefore w:val="0"/>
        <w:widowControl/>
        <w:kinsoku/>
        <w:wordWrap/>
        <w:overflowPunct/>
        <w:topLinePunct w:val="0"/>
        <w:autoSpaceDE/>
        <w:autoSpaceDN/>
        <w:bidi w:val="0"/>
        <w:adjustRightInd/>
        <w:snapToGrid/>
        <w:spacing w:before="0" w:after="0"/>
        <w:textAlignment w:val="auto"/>
        <w:rPr>
          <w:rFonts w:hint="eastAsia" w:ascii="宋体" w:hAnsi="Times New Roman" w:eastAsia="宋体" w:cs="Times New Roman"/>
          <w:lang w:eastAsia="zh-CN"/>
        </w:rPr>
      </w:pPr>
      <w:r>
        <w:rPr>
          <w:rFonts w:hint="eastAsia" w:ascii="宋体" w:hAnsi="Times New Roman" w:eastAsia="宋体" w:cs="Times New Roman"/>
          <w:lang w:eastAsia="zh-CN"/>
        </w:rPr>
        <w:t>通过材料合格证明文件进行验证材料的符合性。</w:t>
      </w:r>
    </w:p>
    <w:p>
      <w:pPr>
        <w:pStyle w:val="134"/>
        <w:keepNext w:val="0"/>
        <w:keepLines w:val="0"/>
        <w:pageBreakBefore w:val="0"/>
        <w:widowControl/>
        <w:kinsoku/>
        <w:wordWrap/>
        <w:overflowPunct/>
        <w:topLinePunct w:val="0"/>
        <w:autoSpaceDE/>
        <w:autoSpaceDN/>
        <w:bidi w:val="0"/>
        <w:adjustRightInd/>
        <w:snapToGrid/>
        <w:spacing w:before="0" w:after="0"/>
        <w:textAlignment w:val="auto"/>
      </w:pPr>
      <w:r>
        <w:rPr>
          <w:rFonts w:hint="eastAsia" w:ascii="宋体" w:hAnsi="Times New Roman" w:eastAsia="宋体" w:cs="Times New Roman"/>
          <w:lang w:eastAsia="zh-CN"/>
        </w:rPr>
        <w:t>制冷系统按QB/T 5663—2021中8.5规定的试验方法进行</w:t>
      </w:r>
      <w:r>
        <w:rPr>
          <w:rFonts w:hint="eastAsia"/>
        </w:rPr>
        <w:t>。</w:t>
      </w:r>
    </w:p>
    <w:p>
      <w:pPr>
        <w:pStyle w:val="122"/>
        <w:spacing w:before="120" w:after="120"/>
        <w:rPr>
          <w:rFonts w:hint="eastAsia"/>
        </w:rPr>
      </w:pPr>
      <w:r>
        <w:rPr>
          <w:rFonts w:hint="eastAsia"/>
          <w:lang w:eastAsia="zh-CN"/>
        </w:rPr>
        <w:t>结构</w:t>
      </w:r>
    </w:p>
    <w:p>
      <w:pPr>
        <w:pStyle w:val="26"/>
        <w:rPr>
          <w:rFonts w:hint="eastAsia" w:eastAsia="宋体"/>
          <w:lang w:eastAsia="zh-CN"/>
        </w:rPr>
      </w:pPr>
      <w:r>
        <w:rPr>
          <w:rFonts w:hint="eastAsia"/>
          <w:lang w:eastAsia="zh-CN"/>
        </w:rPr>
        <w:t>采用目视、手感、功能验证及按</w:t>
      </w:r>
      <w:r>
        <w:rPr>
          <w:rFonts w:hint="eastAsia"/>
        </w:rPr>
        <w:t>GB/T 21001.2—2015</w:t>
      </w:r>
      <w:r>
        <w:rPr>
          <w:rFonts w:hint="eastAsia"/>
          <w:lang w:eastAsia="zh-CN"/>
        </w:rPr>
        <w:t>规定的相关试验方法进行。</w:t>
      </w:r>
    </w:p>
    <w:p>
      <w:pPr>
        <w:pStyle w:val="122"/>
        <w:spacing w:before="120" w:after="120"/>
        <w:rPr>
          <w:rFonts w:hint="eastAsia"/>
        </w:rPr>
      </w:pPr>
      <w:r>
        <w:rPr>
          <w:rFonts w:hint="eastAsia"/>
        </w:rPr>
        <w:t>外观</w:t>
      </w:r>
    </w:p>
    <w:p>
      <w:pPr>
        <w:pStyle w:val="26"/>
        <w:ind w:firstLine="420"/>
        <w:rPr>
          <w:rFonts w:hint="eastAsia"/>
        </w:rPr>
      </w:pPr>
      <w:r>
        <w:rPr>
          <w:rFonts w:hint="eastAsia"/>
          <w:lang w:eastAsia="zh-CN"/>
        </w:rPr>
        <w:t>采用</w:t>
      </w:r>
      <w:r>
        <w:rPr>
          <w:rFonts w:hint="eastAsia"/>
        </w:rPr>
        <w:t>目视、手</w:t>
      </w:r>
      <w:r>
        <w:rPr>
          <w:rFonts w:hint="eastAsia"/>
          <w:lang w:eastAsia="zh-CN"/>
        </w:rPr>
        <w:t>感进行</w:t>
      </w:r>
      <w:r>
        <w:rPr>
          <w:rFonts w:hint="eastAsia"/>
        </w:rPr>
        <w:t>检查。</w:t>
      </w:r>
    </w:p>
    <w:p>
      <w:pPr>
        <w:pStyle w:val="122"/>
        <w:spacing w:before="120" w:after="120"/>
        <w:rPr>
          <w:rFonts w:hint="eastAsia"/>
        </w:rPr>
      </w:pPr>
      <w:r>
        <w:rPr>
          <w:rFonts w:hint="eastAsia"/>
        </w:rPr>
        <w:t>尺寸</w:t>
      </w:r>
    </w:p>
    <w:p>
      <w:pPr>
        <w:pStyle w:val="26"/>
        <w:ind w:firstLine="420"/>
      </w:pPr>
      <w:r>
        <w:rPr>
          <w:rFonts w:hint="eastAsia"/>
        </w:rPr>
        <w:t>使用精度不低于1 mm的钢直尺或卷尺测量，并计算偏差。</w:t>
      </w:r>
    </w:p>
    <w:p>
      <w:pPr>
        <w:pStyle w:val="122"/>
        <w:spacing w:before="120" w:after="120"/>
        <w:rPr>
          <w:rFonts w:hint="eastAsia"/>
        </w:rPr>
      </w:pPr>
      <w:r>
        <w:rPr>
          <w:rFonts w:hint="eastAsia"/>
        </w:rPr>
        <w:t>性能</w:t>
      </w:r>
    </w:p>
    <w:p>
      <w:pPr>
        <w:pStyle w:val="124"/>
        <w:spacing w:before="120" w:after="120"/>
        <w:rPr>
          <w:rFonts w:hint="eastAsia"/>
        </w:rPr>
      </w:pPr>
      <w:r>
        <w:rPr>
          <w:rFonts w:hint="eastAsia"/>
          <w:lang w:eastAsia="zh-CN"/>
        </w:rPr>
        <w:t>一般性能</w:t>
      </w:r>
    </w:p>
    <w:p>
      <w:pPr>
        <w:pStyle w:val="26"/>
        <w:keepNext w:val="0"/>
        <w:keepLines w:val="0"/>
        <w:pageBreakBefore w:val="0"/>
        <w:widowControl/>
        <w:kinsoku/>
        <w:wordWrap/>
        <w:overflowPunct/>
        <w:topLinePunct w:val="0"/>
        <w:autoSpaceDE/>
        <w:autoSpaceDN/>
        <w:bidi w:val="0"/>
        <w:adjustRightInd/>
        <w:snapToGrid/>
        <w:textAlignment w:val="auto"/>
        <w:rPr>
          <w:rFonts w:hint="eastAsia"/>
        </w:rPr>
      </w:pPr>
      <w:r>
        <w:rPr>
          <w:rFonts w:hint="eastAsia"/>
          <w:lang w:eastAsia="zh-CN"/>
        </w:rPr>
        <w:t>使售卖机在额定电压和额定频率下满载下工作，通过耳听、目视、手感、操作及观察等方式进行检查。</w:t>
      </w:r>
    </w:p>
    <w:p>
      <w:pPr>
        <w:pStyle w:val="124"/>
        <w:spacing w:before="120" w:after="120"/>
        <w:rPr>
          <w:rFonts w:hint="eastAsia"/>
        </w:rPr>
      </w:pPr>
      <w:r>
        <w:rPr>
          <w:rFonts w:hint="eastAsia"/>
          <w:lang w:eastAsia="zh-CN"/>
        </w:rPr>
        <w:t>重复定位误差</w:t>
      </w:r>
    </w:p>
    <w:p>
      <w:pPr>
        <w:pStyle w:val="26"/>
        <w:rPr>
          <w:rFonts w:hint="eastAsia"/>
        </w:rPr>
      </w:pPr>
      <w:r>
        <w:rPr>
          <w:rFonts w:hint="eastAsia"/>
          <w:lang w:eastAsia="zh-CN"/>
        </w:rPr>
        <w:t>使</w:t>
      </w:r>
      <w:r>
        <w:rPr>
          <w:rFonts w:hint="eastAsia"/>
        </w:rPr>
        <w:t>升降机构</w:t>
      </w:r>
      <w:r>
        <w:rPr>
          <w:rFonts w:hint="eastAsia"/>
          <w:lang w:eastAsia="zh-CN"/>
        </w:rPr>
        <w:t>升降</w:t>
      </w:r>
      <w:r>
        <w:rPr>
          <w:rFonts w:hint="eastAsia"/>
          <w:lang w:val="en-US" w:eastAsia="zh-CN"/>
        </w:rPr>
        <w:t>50次后，用游标卡尺测量其</w:t>
      </w:r>
      <w:r>
        <w:rPr>
          <w:rFonts w:hint="eastAsia"/>
        </w:rPr>
        <w:t>重复定位误差。</w:t>
      </w:r>
    </w:p>
    <w:p>
      <w:pPr>
        <w:pStyle w:val="124"/>
        <w:spacing w:before="120" w:after="120"/>
        <w:rPr>
          <w:rFonts w:hint="eastAsia"/>
        </w:rPr>
      </w:pPr>
      <w:r>
        <w:rPr>
          <w:rFonts w:hint="eastAsia"/>
        </w:rPr>
        <w:t>恢复时间</w:t>
      </w:r>
    </w:p>
    <w:p>
      <w:pPr>
        <w:pStyle w:val="26"/>
        <w:ind w:firstLine="420"/>
        <w:rPr>
          <w:rFonts w:hint="eastAsia"/>
        </w:rPr>
      </w:pPr>
      <w:r>
        <w:rPr>
          <w:rFonts w:hint="eastAsia"/>
        </w:rPr>
        <w:t>按GB/T 28493—2012中6.4规定的方法进行。</w:t>
      </w:r>
    </w:p>
    <w:p>
      <w:pPr>
        <w:pStyle w:val="124"/>
        <w:spacing w:before="120" w:after="120"/>
        <w:rPr>
          <w:rFonts w:hint="eastAsia"/>
          <w:lang w:eastAsia="zh-CN"/>
        </w:rPr>
      </w:pPr>
      <w:r>
        <w:rPr>
          <w:rFonts w:hint="eastAsia"/>
          <w:lang w:eastAsia="zh-CN"/>
        </w:rPr>
        <w:t>电源适应性</w:t>
      </w:r>
    </w:p>
    <w:p>
      <w:pPr>
        <w:pStyle w:val="26"/>
        <w:keepNext w:val="0"/>
        <w:keepLines w:val="0"/>
        <w:pageBreakBefore w:val="0"/>
        <w:widowControl/>
        <w:kinsoku/>
        <w:wordWrap/>
        <w:overflowPunct/>
        <w:topLinePunct w:val="0"/>
        <w:autoSpaceDE/>
        <w:autoSpaceDN/>
        <w:bidi w:val="0"/>
        <w:adjustRightInd/>
        <w:snapToGrid/>
        <w:ind w:firstLine="420"/>
        <w:textAlignment w:val="auto"/>
        <w:rPr>
          <w:rFonts w:hint="eastAsia"/>
        </w:rPr>
      </w:pPr>
      <w:r>
        <w:rPr>
          <w:rFonts w:hint="eastAsia"/>
          <w:lang w:eastAsia="zh-CN"/>
        </w:rPr>
        <w:t>分别使售卖机在</w:t>
      </w:r>
      <w:r>
        <w:rPr>
          <w:rFonts w:hint="eastAsia"/>
        </w:rPr>
        <w:t>0</w:t>
      </w:r>
      <w:r>
        <w:rPr>
          <w:rFonts w:hint="eastAsia"/>
          <w:lang w:val="en-US" w:eastAsia="zh-CN"/>
        </w:rPr>
        <w:t>.</w:t>
      </w:r>
      <w:r>
        <w:rPr>
          <w:rFonts w:hint="eastAsia"/>
        </w:rPr>
        <w:t>9倍</w:t>
      </w:r>
      <w:r>
        <w:rPr>
          <w:rFonts w:hint="eastAsia"/>
          <w:lang w:eastAsia="zh-CN"/>
        </w:rPr>
        <w:t>额定电压、额定频率</w:t>
      </w:r>
      <w:r>
        <w:rPr>
          <w:rFonts w:hint="eastAsia"/>
        </w:rPr>
        <w:t>和1.1倍额定电</w:t>
      </w:r>
      <w:r>
        <w:rPr>
          <w:rFonts w:hint="eastAsia"/>
          <w:lang w:eastAsia="zh-CN"/>
        </w:rPr>
        <w:t>压、额定频率下满载工作，操作整个预制菜售卖过程，检查所有功能是否正常</w:t>
      </w:r>
      <w:r>
        <w:rPr>
          <w:rFonts w:hint="eastAsia"/>
        </w:rPr>
        <w:t>。</w:t>
      </w:r>
    </w:p>
    <w:p>
      <w:pPr>
        <w:pStyle w:val="124"/>
        <w:spacing w:before="120" w:after="120"/>
        <w:rPr>
          <w:rFonts w:hint="eastAsia" w:eastAsia="宋体"/>
          <w:lang w:eastAsia="zh-CN"/>
        </w:rPr>
      </w:pPr>
      <w:r>
        <w:rPr>
          <w:rFonts w:hint="eastAsia"/>
          <w:lang w:eastAsia="zh-CN"/>
        </w:rPr>
        <w:t>支付时间</w:t>
      </w:r>
    </w:p>
    <w:p>
      <w:pPr>
        <w:pStyle w:val="26"/>
        <w:ind w:firstLine="420"/>
        <w:rPr>
          <w:rFonts w:hint="eastAsia"/>
        </w:rPr>
      </w:pPr>
      <w:r>
        <w:rPr>
          <w:rFonts w:hint="eastAsia"/>
          <w:lang w:eastAsia="zh-CN"/>
        </w:rPr>
        <w:t>使</w:t>
      </w:r>
      <w:r>
        <w:rPr>
          <w:rFonts w:hint="eastAsia"/>
        </w:rPr>
        <w:t>售卖机</w:t>
      </w:r>
      <w:r>
        <w:rPr>
          <w:rFonts w:hint="eastAsia"/>
          <w:lang w:eastAsia="zh-CN"/>
        </w:rPr>
        <w:t>在额定电压和额定频率下满载工作</w:t>
      </w:r>
      <w:r>
        <w:rPr>
          <w:rFonts w:hint="eastAsia"/>
        </w:rPr>
        <w:t>，分别使用微信、支付宝、刷脸</w:t>
      </w:r>
      <w:r>
        <w:rPr>
          <w:rFonts w:hint="eastAsia"/>
          <w:highlight w:val="none"/>
          <w:lang w:eastAsia="zh-CN"/>
        </w:rPr>
        <w:t>等</w:t>
      </w:r>
      <w:r>
        <w:rPr>
          <w:rFonts w:hint="eastAsia"/>
          <w:highlight w:val="none"/>
        </w:rPr>
        <w:t>支付方</w:t>
      </w:r>
      <w:r>
        <w:rPr>
          <w:rFonts w:hint="eastAsia"/>
        </w:rPr>
        <w:t>式</w:t>
      </w:r>
      <w:r>
        <w:rPr>
          <w:rFonts w:hint="eastAsia"/>
          <w:lang w:eastAsia="zh-CN"/>
        </w:rPr>
        <w:t>进行支付</w:t>
      </w:r>
      <w:r>
        <w:rPr>
          <w:rFonts w:hint="eastAsia"/>
        </w:rPr>
        <w:t>，用秒表测量</w:t>
      </w:r>
      <w:r>
        <w:rPr>
          <w:rFonts w:hint="eastAsia"/>
          <w:lang w:eastAsia="zh-CN"/>
        </w:rPr>
        <w:t>发起</w:t>
      </w:r>
      <w:r>
        <w:rPr>
          <w:rFonts w:hint="eastAsia"/>
        </w:rPr>
        <w:t>支付到</w:t>
      </w:r>
      <w:r>
        <w:rPr>
          <w:rFonts w:hint="eastAsia"/>
          <w:lang w:eastAsia="zh-CN"/>
        </w:rPr>
        <w:t>支付完成</w:t>
      </w:r>
      <w:r>
        <w:rPr>
          <w:rFonts w:hint="eastAsia"/>
        </w:rPr>
        <w:t>的时间。</w:t>
      </w:r>
    </w:p>
    <w:p>
      <w:pPr>
        <w:pStyle w:val="124"/>
        <w:spacing w:before="120" w:after="120"/>
        <w:rPr>
          <w:rFonts w:hint="eastAsia" w:eastAsia="宋体"/>
          <w:lang w:eastAsia="zh-CN"/>
        </w:rPr>
      </w:pPr>
      <w:r>
        <w:rPr>
          <w:rFonts w:hint="eastAsia"/>
          <w:lang w:eastAsia="zh-CN"/>
        </w:rPr>
        <w:t>交付时间</w:t>
      </w:r>
    </w:p>
    <w:p>
      <w:pPr>
        <w:pStyle w:val="26"/>
        <w:ind w:firstLine="420"/>
        <w:rPr>
          <w:rFonts w:hint="eastAsia"/>
        </w:rPr>
      </w:pPr>
      <w:r>
        <w:rPr>
          <w:rFonts w:hint="eastAsia"/>
          <w:lang w:eastAsia="zh-CN"/>
        </w:rPr>
        <w:t>使</w:t>
      </w:r>
      <w:r>
        <w:rPr>
          <w:rFonts w:hint="eastAsia"/>
        </w:rPr>
        <w:t>售卖机</w:t>
      </w:r>
      <w:r>
        <w:rPr>
          <w:rFonts w:hint="eastAsia"/>
          <w:lang w:eastAsia="zh-CN"/>
        </w:rPr>
        <w:t>在额定电压和额定频率下满载工作</w:t>
      </w:r>
      <w:r>
        <w:rPr>
          <w:rFonts w:hint="eastAsia"/>
        </w:rPr>
        <w:t>，分别使用微信、支付宝、刷脸</w:t>
      </w:r>
      <w:r>
        <w:rPr>
          <w:rFonts w:hint="eastAsia"/>
          <w:highlight w:val="none"/>
          <w:lang w:eastAsia="zh-CN"/>
        </w:rPr>
        <w:t>等</w:t>
      </w:r>
      <w:r>
        <w:rPr>
          <w:rFonts w:hint="eastAsia"/>
          <w:highlight w:val="none"/>
        </w:rPr>
        <w:t>支付</w:t>
      </w:r>
      <w:r>
        <w:rPr>
          <w:rFonts w:hint="eastAsia"/>
        </w:rPr>
        <w:t>方式</w:t>
      </w:r>
      <w:r>
        <w:rPr>
          <w:rFonts w:hint="eastAsia"/>
          <w:lang w:eastAsia="zh-CN"/>
        </w:rPr>
        <w:t>支付</w:t>
      </w:r>
      <w:r>
        <w:rPr>
          <w:rFonts w:hint="eastAsia"/>
        </w:rPr>
        <w:t>，用秒表测量完成支付到交付</w:t>
      </w:r>
      <w:r>
        <w:rPr>
          <w:rFonts w:hint="eastAsia"/>
          <w:lang w:eastAsia="zh-CN"/>
        </w:rPr>
        <w:t>商品</w:t>
      </w:r>
      <w:r>
        <w:rPr>
          <w:rFonts w:hint="eastAsia"/>
        </w:rPr>
        <w:t>的时间。</w:t>
      </w:r>
    </w:p>
    <w:p>
      <w:pPr>
        <w:pStyle w:val="124"/>
        <w:spacing w:before="120" w:after="120"/>
        <w:rPr>
          <w:rFonts w:hint="eastAsia" w:eastAsia="宋体"/>
          <w:lang w:eastAsia="zh-CN"/>
        </w:rPr>
      </w:pPr>
      <w:r>
        <w:rPr>
          <w:rFonts w:hint="eastAsia"/>
          <w:lang w:eastAsia="zh-CN"/>
        </w:rPr>
        <w:t>退款时间</w:t>
      </w:r>
    </w:p>
    <w:p>
      <w:pPr>
        <w:pStyle w:val="26"/>
        <w:ind w:firstLine="420"/>
        <w:rPr>
          <w:rFonts w:hint="eastAsia"/>
        </w:rPr>
      </w:pPr>
      <w:r>
        <w:rPr>
          <w:rFonts w:hint="eastAsia"/>
          <w:lang w:eastAsia="zh-CN"/>
        </w:rPr>
        <w:t>使</w:t>
      </w:r>
      <w:r>
        <w:rPr>
          <w:rFonts w:hint="eastAsia"/>
        </w:rPr>
        <w:t>售卖机</w:t>
      </w:r>
      <w:r>
        <w:rPr>
          <w:rFonts w:hint="eastAsia"/>
          <w:lang w:eastAsia="zh-CN"/>
        </w:rPr>
        <w:t>在额定电压和额定频率下满载工作</w:t>
      </w:r>
      <w:r>
        <w:rPr>
          <w:rFonts w:hint="eastAsia"/>
        </w:rPr>
        <w:t>，</w:t>
      </w:r>
      <w:r>
        <w:rPr>
          <w:rFonts w:hint="eastAsia"/>
          <w:lang w:eastAsia="zh-CN"/>
        </w:rPr>
        <w:t>设定</w:t>
      </w:r>
      <w:r>
        <w:rPr>
          <w:rFonts w:hint="eastAsia" w:ascii="宋体" w:hAnsi="宋体" w:eastAsia="宋体" w:cs="宋体"/>
          <w:lang w:val="en-US" w:eastAsia="zh-CN"/>
        </w:rPr>
        <w:t>出货失败等交易不成功</w:t>
      </w:r>
      <w:r>
        <w:rPr>
          <w:rFonts w:hint="eastAsia" w:hAnsi="宋体" w:cs="宋体"/>
          <w:lang w:val="en-US" w:eastAsia="zh-CN"/>
        </w:rPr>
        <w:t>并发起退款，</w:t>
      </w:r>
      <w:r>
        <w:rPr>
          <w:rFonts w:hint="eastAsia" w:hAnsi="宋体" w:cs="宋体"/>
          <w:lang w:eastAsia="zh-CN"/>
        </w:rPr>
        <w:t>用秒表测量从</w:t>
      </w:r>
      <w:r>
        <w:rPr>
          <w:rFonts w:hint="eastAsia" w:ascii="宋体" w:hAnsi="宋体" w:eastAsia="宋体" w:cs="宋体"/>
          <w:lang w:eastAsia="zh-CN"/>
        </w:rPr>
        <w:t>发起退款到退款的时间</w:t>
      </w:r>
      <w:r>
        <w:rPr>
          <w:rFonts w:hint="eastAsia" w:hAnsi="宋体" w:cs="宋体"/>
          <w:lang w:val="en-US" w:eastAsia="zh-CN"/>
        </w:rPr>
        <w:t>。</w:t>
      </w:r>
    </w:p>
    <w:p>
      <w:pPr>
        <w:pStyle w:val="124"/>
        <w:spacing w:before="120" w:after="120"/>
        <w:rPr>
          <w:rFonts w:hint="eastAsia"/>
        </w:rPr>
      </w:pPr>
      <w:r>
        <w:rPr>
          <w:rFonts w:hint="eastAsia"/>
        </w:rPr>
        <w:t>门封气密性</w:t>
      </w:r>
    </w:p>
    <w:p>
      <w:pPr>
        <w:pStyle w:val="26"/>
        <w:ind w:firstLine="420"/>
        <w:rPr>
          <w:rFonts w:hint="eastAsia"/>
        </w:rPr>
      </w:pPr>
      <w:r>
        <w:rPr>
          <w:rFonts w:hint="eastAsia"/>
          <w:lang w:eastAsia="zh-CN"/>
        </w:rPr>
        <w:t>使</w:t>
      </w:r>
      <w:r>
        <w:rPr>
          <w:rFonts w:hint="eastAsia"/>
        </w:rPr>
        <w:t>售卖机</w:t>
      </w:r>
      <w:r>
        <w:rPr>
          <w:rFonts w:hint="eastAsia"/>
          <w:lang w:eastAsia="zh-CN"/>
        </w:rPr>
        <w:t>在额定电压和额定频率下满载工作</w:t>
      </w:r>
      <w:r>
        <w:rPr>
          <w:rFonts w:hint="eastAsia"/>
        </w:rPr>
        <w:t>，用温度测试仪进行检测。</w:t>
      </w:r>
    </w:p>
    <w:p>
      <w:pPr>
        <w:pStyle w:val="124"/>
        <w:spacing w:before="120" w:after="120"/>
        <w:rPr>
          <w:rFonts w:hint="eastAsia"/>
        </w:rPr>
      </w:pPr>
      <w:r>
        <w:rPr>
          <w:rFonts w:hint="eastAsia"/>
        </w:rPr>
        <w:t>销售</w:t>
      </w:r>
      <w:r>
        <w:rPr>
          <w:rFonts w:hint="eastAsia"/>
          <w:lang w:eastAsia="zh-CN"/>
        </w:rPr>
        <w:t>预制菜</w:t>
      </w:r>
      <w:r>
        <w:rPr>
          <w:rFonts w:hint="eastAsia"/>
        </w:rPr>
        <w:t>温度</w:t>
      </w:r>
    </w:p>
    <w:p>
      <w:pPr>
        <w:pStyle w:val="26"/>
        <w:ind w:firstLine="420"/>
        <w:rPr>
          <w:rFonts w:hint="eastAsia" w:eastAsia="宋体"/>
          <w:lang w:eastAsia="zh-CN"/>
        </w:rPr>
      </w:pPr>
      <w:r>
        <w:rPr>
          <w:rFonts w:hint="eastAsia"/>
          <w:lang w:eastAsia="zh-CN"/>
        </w:rPr>
        <w:t>使</w:t>
      </w:r>
      <w:r>
        <w:rPr>
          <w:rFonts w:hint="eastAsia"/>
        </w:rPr>
        <w:t>售卖机</w:t>
      </w:r>
      <w:r>
        <w:rPr>
          <w:rFonts w:hint="eastAsia"/>
          <w:lang w:eastAsia="zh-CN"/>
        </w:rPr>
        <w:t>在额定电压和额定频率下满载工作</w:t>
      </w:r>
      <w:r>
        <w:rPr>
          <w:rFonts w:hint="eastAsia"/>
        </w:rPr>
        <w:t>，</w:t>
      </w:r>
      <w:r>
        <w:rPr>
          <w:rFonts w:hint="eastAsia"/>
          <w:lang w:eastAsia="zh-CN"/>
        </w:rPr>
        <w:t>试验环境温度为</w:t>
      </w:r>
      <w:r>
        <w:rPr>
          <w:rFonts w:hint="eastAsia"/>
        </w:rPr>
        <w:t>28</w:t>
      </w:r>
      <w:r>
        <w:rPr>
          <w:rFonts w:hint="eastAsia"/>
          <w:lang w:val="en-US" w:eastAsia="zh-CN"/>
        </w:rPr>
        <w:t xml:space="preserve"> </w:t>
      </w:r>
      <w:r>
        <w:rPr>
          <w:rFonts w:hint="eastAsia"/>
        </w:rPr>
        <w:t>℃～32</w:t>
      </w:r>
      <w:r>
        <w:rPr>
          <w:rFonts w:hint="eastAsia"/>
          <w:lang w:val="en-US" w:eastAsia="zh-CN"/>
        </w:rPr>
        <w:t xml:space="preserve"> </w:t>
      </w:r>
      <w:r>
        <w:rPr>
          <w:rFonts w:hint="eastAsia"/>
        </w:rPr>
        <w:t>℃</w:t>
      </w:r>
      <w:r>
        <w:rPr>
          <w:rFonts w:hint="eastAsia"/>
          <w:lang w:eastAsia="zh-CN"/>
        </w:rPr>
        <w:t>，</w:t>
      </w:r>
      <w:r>
        <w:rPr>
          <w:rFonts w:hint="eastAsia"/>
        </w:rPr>
        <w:t>自动温度调节器设定在出厂时的状态</w:t>
      </w:r>
      <w:r>
        <w:rPr>
          <w:rFonts w:hint="eastAsia"/>
          <w:lang w:eastAsia="zh-CN"/>
        </w:rPr>
        <w:t>，待售卖机运行到平衡状态时进行售卖动作试验，用电子测温仪器测试弹出预制菜包装表面温度。</w:t>
      </w:r>
    </w:p>
    <w:p>
      <w:pPr>
        <w:pStyle w:val="124"/>
        <w:spacing w:before="120" w:after="120"/>
        <w:rPr>
          <w:rFonts w:hint="eastAsia"/>
        </w:rPr>
      </w:pPr>
      <w:r>
        <w:rPr>
          <w:rFonts w:hint="eastAsia"/>
        </w:rPr>
        <w:t>加热</w:t>
      </w:r>
    </w:p>
    <w:p>
      <w:pPr>
        <w:pStyle w:val="26"/>
        <w:ind w:firstLine="420"/>
        <w:rPr>
          <w:rFonts w:hint="eastAsia"/>
        </w:rPr>
      </w:pPr>
      <w:r>
        <w:rPr>
          <w:rFonts w:hint="eastAsia"/>
        </w:rPr>
        <w:t>按QB/T 5366—2019中6.9规定的方法进行。</w:t>
      </w:r>
    </w:p>
    <w:p>
      <w:pPr>
        <w:pStyle w:val="122"/>
        <w:spacing w:before="120" w:after="120"/>
        <w:rPr>
          <w:rFonts w:hint="eastAsia"/>
        </w:rPr>
      </w:pPr>
      <w:r>
        <w:rPr>
          <w:rFonts w:hint="eastAsia"/>
          <w:lang w:eastAsia="zh-CN"/>
        </w:rPr>
        <w:t>智能化</w:t>
      </w:r>
      <w:r>
        <w:rPr>
          <w:rFonts w:hint="eastAsia"/>
        </w:rPr>
        <w:t>功能</w:t>
      </w:r>
    </w:p>
    <w:p>
      <w:pPr>
        <w:pStyle w:val="26"/>
        <w:rPr>
          <w:rFonts w:hint="eastAsia" w:eastAsia="宋体"/>
          <w:lang w:eastAsia="zh-CN"/>
        </w:rPr>
      </w:pPr>
      <w:r>
        <w:rPr>
          <w:rFonts w:hint="eastAsia"/>
          <w:lang w:eastAsia="zh-CN"/>
        </w:rPr>
        <w:t>分别设置相应功能进行验证。</w:t>
      </w:r>
    </w:p>
    <w:p>
      <w:pPr>
        <w:pStyle w:val="122"/>
        <w:spacing w:before="120" w:after="120"/>
        <w:rPr>
          <w:rFonts w:hint="eastAsia"/>
        </w:rPr>
      </w:pPr>
      <w:r>
        <w:rPr>
          <w:rFonts w:hint="eastAsia"/>
          <w:lang w:eastAsia="zh-CN"/>
        </w:rPr>
        <w:t>卫生</w:t>
      </w:r>
      <w:r>
        <w:rPr>
          <w:rFonts w:hint="eastAsia"/>
        </w:rPr>
        <w:t>安全</w:t>
      </w:r>
    </w:p>
    <w:p>
      <w:pPr>
        <w:pStyle w:val="124"/>
        <w:spacing w:before="120" w:after="120"/>
        <w:rPr>
          <w:rFonts w:hint="eastAsia"/>
        </w:rPr>
      </w:pPr>
      <w:r>
        <w:rPr>
          <w:rFonts w:hint="eastAsia"/>
          <w:lang w:eastAsia="zh-CN"/>
        </w:rPr>
        <w:t>外壳</w:t>
      </w:r>
      <w:r>
        <w:rPr>
          <w:rFonts w:hint="eastAsia"/>
        </w:rPr>
        <w:t>防护等级</w:t>
      </w:r>
    </w:p>
    <w:p>
      <w:pPr>
        <w:pStyle w:val="26"/>
        <w:rPr>
          <w:rFonts w:hint="eastAsia"/>
        </w:rPr>
      </w:pPr>
      <w:r>
        <w:rPr>
          <w:rFonts w:hint="eastAsia"/>
          <w:lang w:eastAsia="zh-CN"/>
        </w:rPr>
        <w:t>按</w:t>
      </w:r>
      <w:r>
        <w:rPr>
          <w:rFonts w:hint="eastAsia"/>
        </w:rPr>
        <w:t>GB/T 4208—2017规定的</w:t>
      </w:r>
      <w:r>
        <w:rPr>
          <w:rFonts w:hint="eastAsia"/>
          <w:lang w:eastAsia="zh-CN"/>
        </w:rPr>
        <w:t>试验方法进行</w:t>
      </w:r>
      <w:r>
        <w:rPr>
          <w:rFonts w:hint="eastAsia"/>
        </w:rPr>
        <w:t>。</w:t>
      </w:r>
    </w:p>
    <w:p>
      <w:pPr>
        <w:pStyle w:val="124"/>
        <w:spacing w:before="120" w:after="120"/>
        <w:rPr>
          <w:rFonts w:hint="eastAsia"/>
          <w:lang w:eastAsia="zh-CN"/>
        </w:rPr>
      </w:pPr>
      <w:r>
        <w:rPr>
          <w:rFonts w:hint="eastAsia"/>
          <w:lang w:eastAsia="zh-CN"/>
        </w:rPr>
        <w:t>防夹手能力</w:t>
      </w:r>
    </w:p>
    <w:p>
      <w:pPr>
        <w:pStyle w:val="26"/>
        <w:rPr>
          <w:rFonts w:hint="eastAsia"/>
          <w:lang w:eastAsia="zh-CN"/>
        </w:rPr>
      </w:pPr>
      <w:r>
        <w:rPr>
          <w:rFonts w:hint="eastAsia"/>
          <w:lang w:eastAsia="zh-CN"/>
        </w:rPr>
        <w:t>验证售卖机取货口设置防夹手保护装置的防夹手能力。</w:t>
      </w:r>
    </w:p>
    <w:p>
      <w:pPr>
        <w:pStyle w:val="124"/>
        <w:spacing w:before="120" w:after="120"/>
        <w:rPr>
          <w:rFonts w:hint="eastAsia"/>
        </w:rPr>
      </w:pPr>
      <w:r>
        <w:rPr>
          <w:rFonts w:hint="eastAsia"/>
        </w:rPr>
        <w:t>噪声</w:t>
      </w:r>
    </w:p>
    <w:p>
      <w:pPr>
        <w:pStyle w:val="26"/>
        <w:ind w:firstLine="420"/>
        <w:rPr>
          <w:rFonts w:hint="eastAsia"/>
        </w:rPr>
      </w:pPr>
      <w:r>
        <w:rPr>
          <w:rFonts w:hint="eastAsia"/>
        </w:rPr>
        <w:t>GB/T 28493—2012中6.5规定的方法进行。</w:t>
      </w:r>
    </w:p>
    <w:p>
      <w:pPr>
        <w:pStyle w:val="124"/>
        <w:spacing w:before="120" w:after="120"/>
        <w:rPr>
          <w:rFonts w:hint="eastAsia"/>
        </w:rPr>
      </w:pPr>
      <w:r>
        <w:rPr>
          <w:rFonts w:hint="eastAsia"/>
          <w:lang w:eastAsia="zh-CN"/>
        </w:rPr>
        <w:t>电气</w:t>
      </w:r>
      <w:r>
        <w:rPr>
          <w:rFonts w:hint="eastAsia"/>
        </w:rPr>
        <w:t>安全</w:t>
      </w:r>
    </w:p>
    <w:p>
      <w:pPr>
        <w:pStyle w:val="26"/>
        <w:ind w:firstLine="420"/>
        <w:rPr>
          <w:rFonts w:hint="eastAsia"/>
        </w:rPr>
      </w:pPr>
      <w:r>
        <w:rPr>
          <w:rFonts w:hint="eastAsia"/>
          <w:lang w:eastAsia="zh-CN"/>
        </w:rPr>
        <w:t>按</w:t>
      </w:r>
      <w:r>
        <w:rPr>
          <w:rFonts w:hint="eastAsia"/>
        </w:rPr>
        <w:t>GB</w:t>
      </w:r>
      <w:r>
        <w:rPr>
          <w:rFonts w:hint="eastAsia"/>
          <w:lang w:val="en-US" w:eastAsia="zh-CN"/>
        </w:rPr>
        <w:t>/T</w:t>
      </w:r>
      <w:r>
        <w:rPr>
          <w:rFonts w:hint="eastAsia"/>
        </w:rPr>
        <w:t xml:space="preserve"> 4706.1、GB</w:t>
      </w:r>
      <w:r>
        <w:rPr>
          <w:rFonts w:hint="eastAsia"/>
          <w:lang w:val="en-US" w:eastAsia="zh-CN"/>
        </w:rPr>
        <w:t>/T</w:t>
      </w:r>
      <w:r>
        <w:rPr>
          <w:rFonts w:hint="eastAsia"/>
        </w:rPr>
        <w:t xml:space="preserve"> 4706.72规定</w:t>
      </w:r>
      <w:r>
        <w:rPr>
          <w:rFonts w:hint="eastAsia"/>
          <w:lang w:eastAsia="zh-CN"/>
        </w:rPr>
        <w:t>的试验方法进行</w:t>
      </w:r>
      <w:r>
        <w:rPr>
          <w:rFonts w:hint="eastAsia"/>
        </w:rPr>
        <w:t>。</w:t>
      </w:r>
    </w:p>
    <w:p>
      <w:pPr>
        <w:pStyle w:val="124"/>
        <w:spacing w:before="120" w:after="120"/>
        <w:rPr>
          <w:rFonts w:hint="eastAsia" w:eastAsia="宋体"/>
          <w:lang w:eastAsia="zh-CN"/>
        </w:rPr>
      </w:pPr>
      <w:r>
        <w:rPr>
          <w:rFonts w:hint="eastAsia"/>
          <w:lang w:eastAsia="zh-CN"/>
        </w:rPr>
        <w:t>卫生</w:t>
      </w:r>
    </w:p>
    <w:p>
      <w:pPr>
        <w:pStyle w:val="26"/>
        <w:rPr>
          <w:rFonts w:hint="eastAsia"/>
          <w:lang w:eastAsia="zh-CN"/>
        </w:rPr>
      </w:pPr>
      <w:r>
        <w:rPr>
          <w:rFonts w:hint="eastAsia" w:hAnsi="宋体" w:cs="宋体"/>
          <w:lang w:eastAsia="zh-CN"/>
        </w:rPr>
        <w:t>按</w:t>
      </w:r>
      <w:r>
        <w:rPr>
          <w:rFonts w:hint="eastAsia" w:ascii="宋体" w:hAnsi="宋体" w:eastAsia="宋体" w:cs="宋体"/>
        </w:rPr>
        <w:t>GB/T</w:t>
      </w:r>
      <w:r>
        <w:rPr>
          <w:rFonts w:hint="eastAsia" w:ascii="宋体" w:hAnsi="宋体" w:eastAsia="宋体" w:cs="宋体"/>
          <w:lang w:val="en-US" w:eastAsia="zh-CN"/>
        </w:rPr>
        <w:t xml:space="preserve"> </w:t>
      </w:r>
      <w:r>
        <w:rPr>
          <w:rFonts w:hint="eastAsia" w:ascii="宋体" w:hAnsi="宋体" w:eastAsia="宋体" w:cs="宋体"/>
        </w:rPr>
        <w:t>19891</w:t>
      </w:r>
      <w:r>
        <w:rPr>
          <w:rFonts w:hint="eastAsia" w:hAnsi="宋体" w:cs="宋体"/>
          <w:lang w:eastAsia="zh-CN"/>
        </w:rPr>
        <w:t>和</w:t>
      </w:r>
      <w:r>
        <w:rPr>
          <w:rFonts w:hint="eastAsia" w:ascii="宋体" w:hAnsi="宋体" w:eastAsia="宋体" w:cs="宋体"/>
        </w:rPr>
        <w:t>GB</w:t>
      </w:r>
      <w:r>
        <w:rPr>
          <w:rFonts w:hint="eastAsia" w:ascii="宋体" w:hAnsi="宋体" w:eastAsia="宋体" w:cs="宋体"/>
          <w:lang w:val="en-US" w:eastAsia="zh-CN"/>
        </w:rPr>
        <w:t xml:space="preserve"> </w:t>
      </w:r>
      <w:r>
        <w:rPr>
          <w:rFonts w:hint="eastAsia" w:ascii="宋体" w:hAnsi="宋体" w:eastAsia="宋体" w:cs="宋体"/>
        </w:rPr>
        <w:t>16798</w:t>
      </w:r>
      <w:r>
        <w:rPr>
          <w:rFonts w:hint="eastAsia" w:hAnsi="宋体" w:cs="宋体"/>
          <w:lang w:eastAsia="zh-CN"/>
        </w:rPr>
        <w:t>规定的试验方法进行。</w:t>
      </w:r>
    </w:p>
    <w:p>
      <w:pPr>
        <w:pStyle w:val="124"/>
        <w:spacing w:before="156" w:after="156"/>
        <w:rPr>
          <w:color w:val="auto"/>
          <w:szCs w:val="21"/>
        </w:rPr>
      </w:pPr>
      <w:r>
        <w:rPr>
          <w:rFonts w:hint="eastAsia"/>
          <w:color w:val="auto"/>
          <w:szCs w:val="21"/>
        </w:rPr>
        <w:t>电磁兼容</w:t>
      </w:r>
    </w:p>
    <w:p>
      <w:pPr>
        <w:pStyle w:val="26"/>
        <w:ind w:firstLine="420"/>
        <w:rPr>
          <w:rFonts w:hint="eastAsia"/>
        </w:rPr>
      </w:pPr>
      <w:r>
        <w:rPr>
          <w:rFonts w:hint="eastAsia" w:ascii="宋体" w:hAnsi="Times New Roman" w:eastAsia="宋体" w:cs="Times New Roman"/>
          <w:lang w:eastAsia="zh-CN"/>
        </w:rPr>
        <w:t>按</w:t>
      </w:r>
      <w:r>
        <w:rPr>
          <w:rFonts w:hint="eastAsia" w:ascii="宋体" w:hAnsi="Times New Roman" w:eastAsia="宋体" w:cs="Times New Roman"/>
        </w:rPr>
        <w:t>GB 17625.1和GB 4343.1、GB</w:t>
      </w:r>
      <w:r>
        <w:rPr>
          <w:rFonts w:hint="default" w:ascii="宋体" w:hAnsi="Times New Roman" w:eastAsia="宋体" w:cs="Times New Roman"/>
          <w:lang w:val="en-US"/>
        </w:rPr>
        <w:t>/T</w:t>
      </w:r>
      <w:r>
        <w:rPr>
          <w:rFonts w:hint="eastAsia" w:ascii="宋体" w:hAnsi="Times New Roman" w:eastAsia="宋体" w:cs="Times New Roman"/>
        </w:rPr>
        <w:t xml:space="preserve"> 4343.2</w:t>
      </w:r>
      <w:r>
        <w:rPr>
          <w:rFonts w:hint="eastAsia" w:ascii="宋体" w:hAnsi="Times New Roman" w:eastAsia="宋体" w:cs="Times New Roman"/>
          <w:lang w:eastAsia="zh-CN"/>
        </w:rPr>
        <w:t>规定的试验方法进行</w:t>
      </w:r>
      <w:r>
        <w:rPr>
          <w:rFonts w:hint="eastAsia" w:ascii="宋体" w:hAnsi="Times New Roman" w:eastAsia="宋体" w:cs="Times New Roman"/>
        </w:rPr>
        <w:t>。</w:t>
      </w:r>
    </w:p>
    <w:p>
      <w:pPr>
        <w:pStyle w:val="122"/>
        <w:spacing w:before="120" w:after="120"/>
        <w:rPr>
          <w:rFonts w:hint="eastAsia"/>
        </w:rPr>
      </w:pPr>
      <w:r>
        <w:rPr>
          <w:rFonts w:hint="eastAsia"/>
        </w:rPr>
        <w:t>能</w:t>
      </w:r>
      <w:r>
        <w:rPr>
          <w:rFonts w:hint="eastAsia"/>
          <w:lang w:eastAsia="zh-CN"/>
        </w:rPr>
        <w:t>耗</w:t>
      </w:r>
    </w:p>
    <w:p>
      <w:pPr>
        <w:pStyle w:val="124"/>
        <w:spacing w:before="120" w:after="120"/>
        <w:rPr>
          <w:rFonts w:hint="eastAsia"/>
        </w:rPr>
      </w:pPr>
      <w:r>
        <w:rPr>
          <w:rFonts w:hint="eastAsia"/>
        </w:rPr>
        <w:t>待机日耗电量</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heme="minorBidi"/>
          <w:color w:val="auto"/>
          <w:kern w:val="2"/>
          <w:sz w:val="21"/>
          <w:szCs w:val="22"/>
          <w:lang w:val="en-US" w:eastAsia="zh-CN" w:bidi="ar-SA"/>
        </w:rPr>
        <w:t>按GB/T 28493—2012中6.2规定的方法进行</w:t>
      </w:r>
      <w:r>
        <w:rPr>
          <w:rFonts w:hint="eastAsia" w:ascii="宋体" w:hAnsi="Times New Roman" w:eastAsia="宋体" w:cs="Times New Roman"/>
          <w:kern w:val="0"/>
          <w:sz w:val="21"/>
          <w:szCs w:val="20"/>
          <w:lang w:val="en-US" w:eastAsia="zh-CN" w:bidi="ar-SA"/>
        </w:rPr>
        <w:t>。</w:t>
      </w:r>
    </w:p>
    <w:p>
      <w:pPr>
        <w:pStyle w:val="124"/>
        <w:spacing w:before="120" w:after="120"/>
        <w:rPr>
          <w:rFonts w:hint="eastAsia"/>
          <w:lang w:val="en-US" w:eastAsia="zh-CN"/>
        </w:rPr>
      </w:pPr>
      <w:r>
        <w:rPr>
          <w:rFonts w:hint="eastAsia"/>
        </w:rPr>
        <w:t>能效等级</w:t>
      </w:r>
    </w:p>
    <w:p>
      <w:pPr>
        <w:pStyle w:val="26"/>
        <w:keepNext w:val="0"/>
        <w:keepLines w:val="0"/>
        <w:pageBreakBefore w:val="0"/>
        <w:widowControl/>
        <w:kinsoku/>
        <w:wordWrap/>
        <w:overflowPunct/>
        <w:topLinePunct w:val="0"/>
        <w:autoSpaceDE w:val="0"/>
        <w:autoSpaceDN w:val="0"/>
        <w:bidi w:val="0"/>
        <w:adjustRightInd/>
        <w:snapToGrid/>
        <w:ind w:firstLine="420"/>
        <w:textAlignment w:val="auto"/>
        <w:rPr>
          <w:rFonts w:hint="eastAsia"/>
        </w:rPr>
      </w:pPr>
      <w:r>
        <w:rPr>
          <w:rFonts w:hint="eastAsia"/>
        </w:rPr>
        <w:t>按GB 26920.3规定的</w:t>
      </w:r>
      <w:r>
        <w:rPr>
          <w:rFonts w:hint="eastAsia"/>
          <w:lang w:eastAsia="zh-CN"/>
        </w:rPr>
        <w:t>试验</w:t>
      </w:r>
      <w:r>
        <w:rPr>
          <w:rFonts w:hint="eastAsia"/>
        </w:rPr>
        <w:t>方法进行。</w:t>
      </w:r>
    </w:p>
    <w:p>
      <w:pPr>
        <w:pStyle w:val="122"/>
        <w:spacing w:before="120" w:after="120"/>
        <w:rPr>
          <w:rFonts w:hint="eastAsia"/>
        </w:rPr>
      </w:pPr>
      <w:r>
        <w:rPr>
          <w:rFonts w:hint="eastAsia"/>
        </w:rPr>
        <w:t>有害物质限量</w:t>
      </w:r>
    </w:p>
    <w:p>
      <w:pPr>
        <w:pStyle w:val="26"/>
        <w:ind w:firstLine="420"/>
        <w:rPr>
          <w:rFonts w:hint="eastAsia"/>
        </w:rPr>
      </w:pPr>
      <w:r>
        <w:rPr>
          <w:rFonts w:hint="eastAsia" w:cstheme="minorBidi"/>
          <w:color w:val="auto"/>
          <w:kern w:val="2"/>
          <w:szCs w:val="22"/>
        </w:rPr>
        <w:t>按GB/T 26572和GB/T 26125的</w:t>
      </w:r>
      <w:r>
        <w:rPr>
          <w:rFonts w:hint="eastAsia"/>
          <w:color w:val="auto"/>
        </w:rPr>
        <w:t>试验方法</w:t>
      </w:r>
      <w:r>
        <w:rPr>
          <w:rFonts w:hint="eastAsia" w:cstheme="minorBidi"/>
          <w:color w:val="auto"/>
          <w:kern w:val="2"/>
          <w:szCs w:val="22"/>
        </w:rPr>
        <w:t>进行</w:t>
      </w:r>
      <w:r>
        <w:rPr>
          <w:rFonts w:hint="eastAsia"/>
        </w:rPr>
        <w:t>。</w:t>
      </w:r>
    </w:p>
    <w:p>
      <w:pPr>
        <w:pStyle w:val="122"/>
        <w:spacing w:before="120" w:after="120"/>
      </w:pPr>
      <w:r>
        <w:rPr>
          <w:rFonts w:hint="eastAsia"/>
        </w:rPr>
        <w:t>环境适应性</w:t>
      </w:r>
    </w:p>
    <w:p>
      <w:pPr>
        <w:pStyle w:val="124"/>
        <w:spacing w:before="120" w:after="120"/>
        <w:rPr>
          <w:rFonts w:hint="eastAsia"/>
          <w:lang w:eastAsia="zh-CN"/>
        </w:rPr>
      </w:pPr>
      <w:bookmarkStart w:id="20" w:name="OLE_LINK1"/>
      <w:r>
        <w:rPr>
          <w:rFonts w:hint="eastAsia"/>
          <w:lang w:eastAsia="zh-CN"/>
        </w:rPr>
        <w:t>试验条件</w:t>
      </w:r>
    </w:p>
    <w:p>
      <w:pPr>
        <w:pStyle w:val="26"/>
        <w:rPr>
          <w:rFonts w:hint="eastAsia"/>
          <w:lang w:val="en-US" w:eastAsia="zh-CN"/>
        </w:rPr>
      </w:pPr>
      <w:r>
        <w:rPr>
          <w:rFonts w:hint="eastAsia"/>
          <w:lang w:eastAsia="zh-CN"/>
        </w:rPr>
        <w:t>按表</w:t>
      </w:r>
      <w:r>
        <w:rPr>
          <w:rFonts w:hint="eastAsia"/>
          <w:lang w:val="en-US" w:eastAsia="zh-CN"/>
        </w:rPr>
        <w:t>1的规定。</w:t>
      </w:r>
    </w:p>
    <w:p>
      <w:pPr>
        <w:pStyle w:val="26"/>
        <w:rPr>
          <w:rFonts w:hint="eastAsia"/>
          <w:lang w:val="en-US" w:eastAsia="zh-CN"/>
        </w:rPr>
      </w:pPr>
    </w:p>
    <w:p>
      <w:pPr>
        <w:pStyle w:val="26"/>
        <w:rPr>
          <w:rFonts w:hint="eastAsia"/>
          <w:lang w:val="en-US" w:eastAsia="zh-CN"/>
        </w:rPr>
      </w:pPr>
    </w:p>
    <w:p>
      <w:pPr>
        <w:pStyle w:val="26"/>
        <w:rPr>
          <w:rFonts w:hint="eastAsia"/>
          <w:lang w:val="en-US" w:eastAsia="zh-CN"/>
        </w:rPr>
      </w:pPr>
    </w:p>
    <w:p>
      <w:pPr>
        <w:pStyle w:val="26"/>
        <w:rPr>
          <w:rFonts w:hint="eastAsia"/>
          <w:lang w:val="en-US" w:eastAsia="zh-CN"/>
        </w:rPr>
      </w:pPr>
    </w:p>
    <w:p>
      <w:pPr>
        <w:pStyle w:val="211"/>
        <w:tabs>
          <w:tab w:val="left" w:pos="0"/>
        </w:tabs>
        <w:spacing w:before="120" w:after="120"/>
      </w:pPr>
      <w:r>
        <w:rPr>
          <w:rFonts w:hint="eastAsia"/>
        </w:rPr>
        <w:t>环境适应性试验</w:t>
      </w:r>
    </w:p>
    <w:tbl>
      <w:tblPr>
        <w:tblStyle w:val="20"/>
        <w:tblW w:w="935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24"/>
        <w:gridCol w:w="1365"/>
        <w:gridCol w:w="1388"/>
        <w:gridCol w:w="1410"/>
        <w:gridCol w:w="1320"/>
        <w:gridCol w:w="1410"/>
        <w:gridCol w:w="123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24" w:type="dxa"/>
            <w:vMerge w:val="restart"/>
            <w:tcBorders>
              <w:top w:val="single" w:color="auto" w:sz="8" w:space="0"/>
            </w:tcBorders>
            <w:shd w:val="clear" w:color="auto" w:fill="auto"/>
            <w:vAlign w:val="center"/>
          </w:tcPr>
          <w:p>
            <w:pPr>
              <w:pStyle w:val="207"/>
              <w:numPr>
                <w:ilvl w:val="0"/>
                <w:numId w:val="0"/>
              </w:numPr>
              <w:tabs>
                <w:tab w:val="left" w:pos="850"/>
              </w:tabs>
              <w:ind w:leftChars="0"/>
              <w:jc w:val="center"/>
              <w:rPr>
                <w:rFonts w:hint="eastAsia"/>
                <w:szCs w:val="18"/>
                <w:lang w:eastAsia="zh-CN"/>
              </w:rPr>
            </w:pPr>
            <w:r>
              <w:rPr>
                <w:rFonts w:hint="eastAsia"/>
                <w:szCs w:val="18"/>
                <w:lang w:eastAsia="zh-CN"/>
              </w:rPr>
              <w:t>项目</w:t>
            </w:r>
          </w:p>
        </w:tc>
        <w:tc>
          <w:tcPr>
            <w:tcW w:w="5483" w:type="dxa"/>
            <w:gridSpan w:val="4"/>
            <w:tcBorders>
              <w:top w:val="single" w:color="auto" w:sz="8" w:space="0"/>
              <w:bottom w:val="single" w:color="auto" w:sz="8" w:space="0"/>
            </w:tcBorders>
            <w:shd w:val="clear" w:color="auto" w:fill="auto"/>
            <w:vAlign w:val="center"/>
          </w:tcPr>
          <w:p>
            <w:pPr>
              <w:pStyle w:val="207"/>
              <w:numPr>
                <w:ilvl w:val="0"/>
                <w:numId w:val="0"/>
              </w:numPr>
              <w:tabs>
                <w:tab w:val="left" w:pos="850"/>
              </w:tabs>
              <w:ind w:leftChars="0"/>
              <w:jc w:val="center"/>
              <w:rPr>
                <w:rFonts w:hint="eastAsia"/>
                <w:szCs w:val="18"/>
              </w:rPr>
            </w:pPr>
            <w:r>
              <w:rPr>
                <w:rFonts w:hint="eastAsia"/>
                <w:szCs w:val="18"/>
              </w:rPr>
              <w:t>试验条件</w:t>
            </w:r>
          </w:p>
        </w:tc>
        <w:tc>
          <w:tcPr>
            <w:tcW w:w="1410" w:type="dxa"/>
            <w:vMerge w:val="restart"/>
            <w:tcBorders>
              <w:top w:val="single" w:color="auto" w:sz="8" w:space="0"/>
            </w:tcBorders>
            <w:shd w:val="clear" w:color="auto" w:fill="auto"/>
            <w:vAlign w:val="center"/>
          </w:tcPr>
          <w:p>
            <w:pPr>
              <w:pStyle w:val="207"/>
              <w:numPr>
                <w:ilvl w:val="0"/>
                <w:numId w:val="0"/>
              </w:numPr>
              <w:tabs>
                <w:tab w:val="left" w:pos="850"/>
              </w:tabs>
              <w:ind w:leftChars="0"/>
              <w:jc w:val="center"/>
              <w:rPr>
                <w:rFonts w:hint="eastAsia"/>
                <w:szCs w:val="18"/>
              </w:rPr>
            </w:pPr>
            <w:r>
              <w:rPr>
                <w:rFonts w:hint="eastAsia"/>
                <w:szCs w:val="18"/>
              </w:rPr>
              <w:t>试验状态</w:t>
            </w:r>
          </w:p>
        </w:tc>
        <w:tc>
          <w:tcPr>
            <w:tcW w:w="1236" w:type="dxa"/>
            <w:vMerge w:val="restart"/>
            <w:tcBorders>
              <w:top w:val="single" w:color="auto" w:sz="8" w:space="0"/>
            </w:tcBorders>
            <w:shd w:val="clear" w:color="auto" w:fill="auto"/>
            <w:vAlign w:val="center"/>
          </w:tcPr>
          <w:p>
            <w:pPr>
              <w:pStyle w:val="207"/>
              <w:numPr>
                <w:ilvl w:val="0"/>
                <w:numId w:val="0"/>
              </w:numPr>
              <w:tabs>
                <w:tab w:val="left" w:pos="850"/>
              </w:tabs>
              <w:ind w:leftChars="0"/>
              <w:jc w:val="center"/>
              <w:rPr>
                <w:rFonts w:hint="eastAsia"/>
                <w:szCs w:val="18"/>
                <w:lang w:eastAsia="zh-CN"/>
              </w:rPr>
            </w:pPr>
            <w:r>
              <w:rPr>
                <w:rFonts w:hint="eastAsia"/>
                <w:szCs w:val="18"/>
                <w:lang w:eastAsia="zh-CN"/>
              </w:rPr>
              <w:t>试验前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24" w:type="dxa"/>
            <w:vMerge w:val="continue"/>
            <w:tcBorders>
              <w:bottom w:val="single" w:color="auto" w:sz="8" w:space="0"/>
            </w:tcBorders>
            <w:shd w:val="clear" w:color="auto" w:fill="auto"/>
            <w:vAlign w:val="center"/>
          </w:tcPr>
          <w:p>
            <w:pPr>
              <w:pStyle w:val="207"/>
              <w:numPr>
                <w:ilvl w:val="0"/>
                <w:numId w:val="0"/>
              </w:numPr>
              <w:tabs>
                <w:tab w:val="left" w:pos="850"/>
              </w:tabs>
              <w:ind w:leftChars="0"/>
              <w:jc w:val="center"/>
              <w:rPr>
                <w:rFonts w:hint="eastAsia"/>
                <w:szCs w:val="18"/>
                <w:lang w:eastAsia="zh-CN"/>
              </w:rPr>
            </w:pPr>
          </w:p>
        </w:tc>
        <w:tc>
          <w:tcPr>
            <w:tcW w:w="1365" w:type="dxa"/>
            <w:tcBorders>
              <w:top w:val="single" w:color="auto" w:sz="8" w:space="0"/>
              <w:bottom w:val="single" w:color="auto" w:sz="8" w:space="0"/>
            </w:tcBorders>
            <w:shd w:val="clear" w:color="auto" w:fill="auto"/>
            <w:vAlign w:val="center"/>
          </w:tcPr>
          <w:p>
            <w:pPr>
              <w:pStyle w:val="207"/>
              <w:numPr>
                <w:ilvl w:val="0"/>
                <w:numId w:val="0"/>
              </w:numPr>
              <w:tabs>
                <w:tab w:val="left" w:pos="850"/>
              </w:tabs>
              <w:ind w:leftChars="0"/>
              <w:jc w:val="center"/>
              <w:rPr>
                <w:rFonts w:hint="eastAsia"/>
                <w:szCs w:val="18"/>
              </w:rPr>
            </w:pPr>
            <w:r>
              <w:rPr>
                <w:rFonts w:hint="eastAsia"/>
                <w:szCs w:val="18"/>
              </w:rPr>
              <w:t>温度，℃</w:t>
            </w:r>
          </w:p>
        </w:tc>
        <w:tc>
          <w:tcPr>
            <w:tcW w:w="1388" w:type="dxa"/>
            <w:tcBorders>
              <w:top w:val="single" w:color="auto" w:sz="8" w:space="0"/>
              <w:bottom w:val="single" w:color="auto" w:sz="8" w:space="0"/>
            </w:tcBorders>
            <w:shd w:val="clear" w:color="auto" w:fill="auto"/>
            <w:vAlign w:val="center"/>
          </w:tcPr>
          <w:p>
            <w:pPr>
              <w:pStyle w:val="207"/>
              <w:numPr>
                <w:ilvl w:val="0"/>
                <w:numId w:val="0"/>
              </w:numPr>
              <w:tabs>
                <w:tab w:val="left" w:pos="850"/>
              </w:tabs>
              <w:ind w:leftChars="0"/>
              <w:jc w:val="center"/>
              <w:rPr>
                <w:rFonts w:hint="eastAsia"/>
                <w:szCs w:val="18"/>
              </w:rPr>
            </w:pPr>
            <w:r>
              <w:rPr>
                <w:rFonts w:hint="eastAsia"/>
                <w:szCs w:val="18"/>
              </w:rPr>
              <w:t>相对湿度，%</w:t>
            </w:r>
          </w:p>
        </w:tc>
        <w:tc>
          <w:tcPr>
            <w:tcW w:w="1410" w:type="dxa"/>
            <w:tcBorders>
              <w:top w:val="single" w:color="auto" w:sz="8" w:space="0"/>
              <w:bottom w:val="single" w:color="auto" w:sz="8" w:space="0"/>
            </w:tcBorders>
            <w:shd w:val="clear" w:color="auto" w:fill="auto"/>
            <w:vAlign w:val="center"/>
          </w:tcPr>
          <w:p>
            <w:pPr>
              <w:pStyle w:val="207"/>
              <w:numPr>
                <w:ilvl w:val="0"/>
                <w:numId w:val="0"/>
              </w:numPr>
              <w:tabs>
                <w:tab w:val="left" w:pos="850"/>
              </w:tabs>
              <w:ind w:leftChars="0"/>
              <w:jc w:val="center"/>
              <w:rPr>
                <w:rFonts w:hint="eastAsia"/>
                <w:szCs w:val="18"/>
              </w:rPr>
            </w:pPr>
            <w:r>
              <w:rPr>
                <w:rFonts w:hint="eastAsia"/>
                <w:szCs w:val="18"/>
              </w:rPr>
              <w:t>试验时间，h</w:t>
            </w:r>
          </w:p>
        </w:tc>
        <w:tc>
          <w:tcPr>
            <w:tcW w:w="1320" w:type="dxa"/>
            <w:tcBorders>
              <w:top w:val="single" w:color="auto" w:sz="8" w:space="0"/>
              <w:bottom w:val="single" w:color="auto" w:sz="8" w:space="0"/>
            </w:tcBorders>
            <w:shd w:val="clear" w:color="auto" w:fill="auto"/>
            <w:vAlign w:val="center"/>
          </w:tcPr>
          <w:p>
            <w:pPr>
              <w:pStyle w:val="207"/>
              <w:numPr>
                <w:ilvl w:val="0"/>
                <w:numId w:val="0"/>
              </w:numPr>
              <w:tabs>
                <w:tab w:val="left" w:pos="850"/>
              </w:tabs>
              <w:ind w:leftChars="0"/>
              <w:jc w:val="center"/>
              <w:rPr>
                <w:rFonts w:hint="eastAsia"/>
                <w:szCs w:val="18"/>
                <w:lang w:val="en-US" w:eastAsia="zh-CN"/>
              </w:rPr>
            </w:pPr>
            <w:r>
              <w:rPr>
                <w:rFonts w:hint="eastAsia"/>
                <w:szCs w:val="18"/>
                <w:lang w:eastAsia="zh-CN"/>
              </w:rPr>
              <w:t>恢复</w:t>
            </w:r>
            <w:r>
              <w:rPr>
                <w:rFonts w:hint="eastAsia"/>
                <w:szCs w:val="18"/>
              </w:rPr>
              <w:t>时间，h</w:t>
            </w:r>
          </w:p>
        </w:tc>
        <w:tc>
          <w:tcPr>
            <w:tcW w:w="1410" w:type="dxa"/>
            <w:vMerge w:val="continue"/>
            <w:tcBorders>
              <w:bottom w:val="single" w:color="auto" w:sz="8" w:space="0"/>
            </w:tcBorders>
            <w:shd w:val="clear" w:color="auto" w:fill="auto"/>
            <w:vAlign w:val="center"/>
          </w:tcPr>
          <w:p>
            <w:pPr>
              <w:pStyle w:val="207"/>
              <w:numPr>
                <w:ilvl w:val="0"/>
                <w:numId w:val="0"/>
              </w:numPr>
              <w:tabs>
                <w:tab w:val="left" w:pos="850"/>
              </w:tabs>
              <w:ind w:leftChars="0"/>
              <w:jc w:val="center"/>
              <w:rPr>
                <w:rFonts w:hint="eastAsia"/>
                <w:szCs w:val="18"/>
              </w:rPr>
            </w:pPr>
          </w:p>
        </w:tc>
        <w:tc>
          <w:tcPr>
            <w:tcW w:w="1236" w:type="dxa"/>
            <w:vMerge w:val="continue"/>
            <w:tcBorders>
              <w:bottom w:val="single" w:color="auto" w:sz="8" w:space="0"/>
            </w:tcBorders>
            <w:shd w:val="clear" w:color="auto" w:fill="auto"/>
            <w:vAlign w:val="center"/>
          </w:tcPr>
          <w:p>
            <w:pPr>
              <w:pStyle w:val="207"/>
              <w:numPr>
                <w:ilvl w:val="0"/>
                <w:numId w:val="0"/>
              </w:numPr>
              <w:tabs>
                <w:tab w:val="left" w:pos="850"/>
              </w:tabs>
              <w:ind w:leftChars="0"/>
              <w:jc w:val="center"/>
              <w:rPr>
                <w:rFonts w:hint="eastAsia"/>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24" w:type="dxa"/>
            <w:tcBorders>
              <w:top w:val="single" w:color="auto" w:sz="8" w:space="0"/>
            </w:tcBorders>
            <w:shd w:val="clear" w:color="auto" w:fill="auto"/>
            <w:vAlign w:val="center"/>
          </w:tcPr>
          <w:p>
            <w:pPr>
              <w:pStyle w:val="207"/>
              <w:numPr>
                <w:ilvl w:val="0"/>
                <w:numId w:val="0"/>
              </w:numPr>
              <w:tabs>
                <w:tab w:val="left" w:pos="850"/>
              </w:tabs>
              <w:ind w:leftChars="0"/>
              <w:jc w:val="center"/>
              <w:rPr>
                <w:rFonts w:hint="eastAsia"/>
                <w:szCs w:val="18"/>
                <w:lang w:eastAsia="zh-CN"/>
              </w:rPr>
            </w:pPr>
            <w:r>
              <w:rPr>
                <w:rFonts w:hint="eastAsia"/>
                <w:szCs w:val="18"/>
                <w:lang w:eastAsia="zh-CN"/>
              </w:rPr>
              <w:t>低温</w:t>
            </w:r>
          </w:p>
        </w:tc>
        <w:tc>
          <w:tcPr>
            <w:tcW w:w="1365" w:type="dxa"/>
            <w:tcBorders>
              <w:top w:val="single" w:color="auto" w:sz="8" w:space="0"/>
            </w:tcBorders>
            <w:shd w:val="clear" w:color="auto" w:fill="auto"/>
            <w:vAlign w:val="center"/>
          </w:tcPr>
          <w:p>
            <w:pPr>
              <w:pStyle w:val="207"/>
              <w:numPr>
                <w:ilvl w:val="0"/>
                <w:numId w:val="0"/>
              </w:numPr>
              <w:tabs>
                <w:tab w:val="left" w:pos="850"/>
              </w:tabs>
              <w:ind w:leftChars="0"/>
              <w:jc w:val="center"/>
              <w:rPr>
                <w:rFonts w:hint="eastAsia"/>
                <w:szCs w:val="18"/>
              </w:rPr>
            </w:pPr>
            <w:r>
              <w:rPr>
                <w:rFonts w:hint="eastAsia"/>
                <w:szCs w:val="18"/>
              </w:rPr>
              <w:t>0±2</w:t>
            </w:r>
          </w:p>
        </w:tc>
        <w:tc>
          <w:tcPr>
            <w:tcW w:w="1388" w:type="dxa"/>
            <w:tcBorders>
              <w:top w:val="single" w:color="auto" w:sz="8" w:space="0"/>
            </w:tcBorders>
            <w:shd w:val="clear" w:color="auto" w:fill="auto"/>
            <w:vAlign w:val="center"/>
          </w:tcPr>
          <w:p>
            <w:pPr>
              <w:pStyle w:val="207"/>
              <w:numPr>
                <w:ilvl w:val="0"/>
                <w:numId w:val="0"/>
              </w:numPr>
              <w:tabs>
                <w:tab w:val="left" w:pos="850"/>
              </w:tabs>
              <w:ind w:leftChars="0"/>
              <w:jc w:val="center"/>
              <w:rPr>
                <w:rFonts w:hint="eastAsia"/>
                <w:szCs w:val="18"/>
              </w:rPr>
            </w:pPr>
            <w:r>
              <w:rPr>
                <w:rFonts w:hint="eastAsia"/>
                <w:szCs w:val="18"/>
              </w:rPr>
              <w:t>—</w:t>
            </w:r>
          </w:p>
        </w:tc>
        <w:tc>
          <w:tcPr>
            <w:tcW w:w="1410" w:type="dxa"/>
            <w:tcBorders>
              <w:top w:val="single" w:color="auto" w:sz="8" w:space="0"/>
            </w:tcBorders>
            <w:shd w:val="clear" w:color="auto" w:fill="auto"/>
            <w:vAlign w:val="center"/>
          </w:tcPr>
          <w:p>
            <w:pPr>
              <w:pStyle w:val="207"/>
              <w:numPr>
                <w:ilvl w:val="0"/>
                <w:numId w:val="0"/>
              </w:numPr>
              <w:tabs>
                <w:tab w:val="left" w:pos="850"/>
              </w:tabs>
              <w:ind w:leftChars="0"/>
              <w:jc w:val="center"/>
              <w:rPr>
                <w:rFonts w:hint="eastAsia"/>
                <w:szCs w:val="18"/>
              </w:rPr>
            </w:pPr>
            <w:r>
              <w:rPr>
                <w:rFonts w:hint="eastAsia"/>
                <w:szCs w:val="18"/>
              </w:rPr>
              <w:t>8</w:t>
            </w:r>
          </w:p>
        </w:tc>
        <w:tc>
          <w:tcPr>
            <w:tcW w:w="1320" w:type="dxa"/>
            <w:vMerge w:val="restart"/>
            <w:tcBorders>
              <w:top w:val="single" w:color="auto" w:sz="8" w:space="0"/>
            </w:tcBorders>
            <w:shd w:val="clear" w:color="auto" w:fill="auto"/>
            <w:vAlign w:val="center"/>
          </w:tcPr>
          <w:p>
            <w:pPr>
              <w:pStyle w:val="207"/>
              <w:numPr>
                <w:ilvl w:val="0"/>
                <w:numId w:val="0"/>
              </w:numPr>
              <w:tabs>
                <w:tab w:val="left" w:pos="850"/>
              </w:tabs>
              <w:ind w:leftChars="0"/>
              <w:jc w:val="center"/>
              <w:rPr>
                <w:rFonts w:hint="eastAsia"/>
                <w:szCs w:val="18"/>
                <w:lang w:val="en-US" w:eastAsia="zh-CN"/>
              </w:rPr>
            </w:pPr>
            <w:r>
              <w:rPr>
                <w:rFonts w:hint="eastAsia"/>
                <w:szCs w:val="18"/>
              </w:rPr>
              <w:t>≥</w:t>
            </w:r>
            <w:r>
              <w:rPr>
                <w:rFonts w:hint="eastAsia"/>
                <w:szCs w:val="18"/>
                <w:lang w:val="en-US" w:eastAsia="zh-CN"/>
              </w:rPr>
              <w:t>2</w:t>
            </w:r>
          </w:p>
        </w:tc>
        <w:tc>
          <w:tcPr>
            <w:tcW w:w="1410" w:type="dxa"/>
            <w:tcBorders>
              <w:top w:val="single" w:color="auto" w:sz="8" w:space="0"/>
            </w:tcBorders>
            <w:shd w:val="clear" w:color="auto" w:fill="auto"/>
            <w:vAlign w:val="center"/>
          </w:tcPr>
          <w:p>
            <w:pPr>
              <w:pStyle w:val="207"/>
              <w:numPr>
                <w:ilvl w:val="0"/>
                <w:numId w:val="0"/>
              </w:numPr>
              <w:tabs>
                <w:tab w:val="left" w:pos="850"/>
              </w:tabs>
              <w:ind w:leftChars="0"/>
              <w:jc w:val="center"/>
              <w:rPr>
                <w:rFonts w:hint="eastAsia"/>
                <w:szCs w:val="18"/>
              </w:rPr>
            </w:pPr>
            <w:r>
              <w:rPr>
                <w:rFonts w:hint="eastAsia"/>
                <w:szCs w:val="18"/>
              </w:rPr>
              <w:t>通电运行</w:t>
            </w:r>
          </w:p>
        </w:tc>
        <w:tc>
          <w:tcPr>
            <w:tcW w:w="1236" w:type="dxa"/>
            <w:vMerge w:val="restart"/>
            <w:tcBorders>
              <w:top w:val="single" w:color="auto" w:sz="8" w:space="0"/>
            </w:tcBorders>
            <w:shd w:val="clear" w:color="auto" w:fill="auto"/>
            <w:vAlign w:val="center"/>
          </w:tcPr>
          <w:p>
            <w:pPr>
              <w:pStyle w:val="207"/>
              <w:numPr>
                <w:ilvl w:val="0"/>
                <w:numId w:val="0"/>
              </w:numPr>
              <w:tabs>
                <w:tab w:val="left" w:pos="850"/>
              </w:tabs>
              <w:ind w:leftChars="0"/>
              <w:jc w:val="center"/>
              <w:rPr>
                <w:rFonts w:hint="eastAsia"/>
                <w:szCs w:val="18"/>
              </w:rPr>
            </w:pPr>
            <w:r>
              <w:rPr>
                <w:rFonts w:hint="eastAsia"/>
                <w:szCs w:val="18"/>
                <w:lang w:eastAsia="zh-CN"/>
              </w:rPr>
              <w:t>样品</w:t>
            </w:r>
            <w:r>
              <w:rPr>
                <w:rFonts w:hint="eastAsia"/>
                <w:szCs w:val="18"/>
              </w:rPr>
              <w:t>应进行初始检测。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24" w:type="dxa"/>
            <w:shd w:val="clear" w:color="auto" w:fill="auto"/>
            <w:vAlign w:val="center"/>
          </w:tcPr>
          <w:p>
            <w:pPr>
              <w:pStyle w:val="207"/>
              <w:numPr>
                <w:ilvl w:val="0"/>
                <w:numId w:val="0"/>
              </w:numPr>
              <w:tabs>
                <w:tab w:val="left" w:pos="850"/>
              </w:tabs>
              <w:ind w:leftChars="0"/>
              <w:jc w:val="center"/>
              <w:rPr>
                <w:rFonts w:hint="eastAsia"/>
                <w:szCs w:val="18"/>
                <w:lang w:eastAsia="zh-CN"/>
              </w:rPr>
            </w:pPr>
            <w:r>
              <w:rPr>
                <w:rFonts w:hint="eastAsia"/>
                <w:szCs w:val="18"/>
                <w:lang w:eastAsia="zh-CN"/>
              </w:rPr>
              <w:t>高温</w:t>
            </w:r>
          </w:p>
        </w:tc>
        <w:tc>
          <w:tcPr>
            <w:tcW w:w="1365" w:type="dxa"/>
            <w:shd w:val="clear" w:color="auto" w:fill="auto"/>
            <w:vAlign w:val="center"/>
          </w:tcPr>
          <w:p>
            <w:pPr>
              <w:pStyle w:val="207"/>
              <w:numPr>
                <w:ilvl w:val="0"/>
                <w:numId w:val="0"/>
              </w:numPr>
              <w:tabs>
                <w:tab w:val="left" w:pos="850"/>
              </w:tabs>
              <w:ind w:leftChars="0"/>
              <w:jc w:val="center"/>
              <w:rPr>
                <w:rFonts w:hint="eastAsia"/>
                <w:szCs w:val="18"/>
              </w:rPr>
            </w:pPr>
            <w:r>
              <w:rPr>
                <w:rFonts w:hint="eastAsia"/>
                <w:szCs w:val="18"/>
              </w:rPr>
              <w:t>40士2</w:t>
            </w:r>
          </w:p>
        </w:tc>
        <w:tc>
          <w:tcPr>
            <w:tcW w:w="1388" w:type="dxa"/>
            <w:shd w:val="clear" w:color="auto" w:fill="auto"/>
            <w:vAlign w:val="center"/>
          </w:tcPr>
          <w:p>
            <w:pPr>
              <w:pStyle w:val="207"/>
              <w:numPr>
                <w:ilvl w:val="0"/>
                <w:numId w:val="0"/>
              </w:numPr>
              <w:tabs>
                <w:tab w:val="left" w:pos="850"/>
              </w:tabs>
              <w:ind w:leftChars="0"/>
              <w:jc w:val="center"/>
              <w:rPr>
                <w:rFonts w:hint="eastAsia"/>
                <w:szCs w:val="18"/>
              </w:rPr>
            </w:pPr>
            <w:r>
              <w:rPr>
                <w:rFonts w:hint="eastAsia"/>
                <w:szCs w:val="18"/>
              </w:rPr>
              <w:t>—</w:t>
            </w:r>
          </w:p>
        </w:tc>
        <w:tc>
          <w:tcPr>
            <w:tcW w:w="1410" w:type="dxa"/>
            <w:shd w:val="clear" w:color="auto" w:fill="auto"/>
            <w:vAlign w:val="center"/>
          </w:tcPr>
          <w:p>
            <w:pPr>
              <w:pStyle w:val="207"/>
              <w:numPr>
                <w:ilvl w:val="0"/>
                <w:numId w:val="0"/>
              </w:numPr>
              <w:tabs>
                <w:tab w:val="left" w:pos="850"/>
              </w:tabs>
              <w:ind w:leftChars="0"/>
              <w:jc w:val="center"/>
              <w:rPr>
                <w:rFonts w:hint="eastAsia"/>
                <w:szCs w:val="18"/>
              </w:rPr>
            </w:pPr>
            <w:r>
              <w:rPr>
                <w:rFonts w:hint="eastAsia"/>
                <w:szCs w:val="18"/>
              </w:rPr>
              <w:t>8</w:t>
            </w:r>
          </w:p>
        </w:tc>
        <w:tc>
          <w:tcPr>
            <w:tcW w:w="1320" w:type="dxa"/>
            <w:vMerge w:val="continue"/>
            <w:shd w:val="clear" w:color="auto" w:fill="auto"/>
            <w:vAlign w:val="center"/>
          </w:tcPr>
          <w:p>
            <w:pPr>
              <w:pStyle w:val="207"/>
              <w:numPr>
                <w:ilvl w:val="0"/>
                <w:numId w:val="0"/>
              </w:numPr>
              <w:tabs>
                <w:tab w:val="left" w:pos="850"/>
              </w:tabs>
              <w:ind w:leftChars="0"/>
              <w:jc w:val="center"/>
              <w:rPr>
                <w:rFonts w:hint="eastAsia"/>
                <w:szCs w:val="18"/>
              </w:rPr>
            </w:pPr>
          </w:p>
        </w:tc>
        <w:tc>
          <w:tcPr>
            <w:tcW w:w="1410" w:type="dxa"/>
            <w:shd w:val="clear" w:color="auto" w:fill="auto"/>
            <w:vAlign w:val="center"/>
          </w:tcPr>
          <w:p>
            <w:pPr>
              <w:pStyle w:val="207"/>
              <w:numPr>
                <w:ilvl w:val="0"/>
                <w:numId w:val="0"/>
              </w:numPr>
              <w:tabs>
                <w:tab w:val="left" w:pos="850"/>
              </w:tabs>
              <w:ind w:leftChars="0"/>
              <w:jc w:val="center"/>
              <w:rPr>
                <w:rFonts w:hint="eastAsia"/>
                <w:szCs w:val="18"/>
              </w:rPr>
            </w:pPr>
            <w:r>
              <w:rPr>
                <w:rFonts w:hint="eastAsia"/>
                <w:szCs w:val="18"/>
              </w:rPr>
              <w:t>通电运行</w:t>
            </w:r>
          </w:p>
        </w:tc>
        <w:tc>
          <w:tcPr>
            <w:tcW w:w="1236" w:type="dxa"/>
            <w:vMerge w:val="continue"/>
            <w:shd w:val="clear" w:color="auto" w:fill="auto"/>
            <w:vAlign w:val="center"/>
          </w:tcPr>
          <w:p>
            <w:pPr>
              <w:pStyle w:val="207"/>
              <w:numPr>
                <w:ilvl w:val="0"/>
                <w:numId w:val="2"/>
              </w:numPr>
              <w:tabs>
                <w:tab w:val="left" w:pos="850"/>
              </w:tabs>
              <w:rPr>
                <w:rFonts w:hint="eastAsia"/>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24" w:type="dxa"/>
            <w:shd w:val="clear" w:color="auto" w:fill="auto"/>
            <w:vAlign w:val="center"/>
          </w:tcPr>
          <w:p>
            <w:pPr>
              <w:pStyle w:val="207"/>
              <w:numPr>
                <w:ilvl w:val="0"/>
                <w:numId w:val="0"/>
              </w:numPr>
              <w:tabs>
                <w:tab w:val="left" w:pos="850"/>
              </w:tabs>
              <w:ind w:leftChars="0"/>
              <w:jc w:val="center"/>
              <w:rPr>
                <w:rFonts w:hint="eastAsia"/>
                <w:szCs w:val="18"/>
                <w:lang w:eastAsia="zh-CN"/>
              </w:rPr>
            </w:pPr>
            <w:r>
              <w:rPr>
                <w:rFonts w:hint="eastAsia"/>
                <w:szCs w:val="18"/>
                <w:lang w:eastAsia="zh-CN"/>
              </w:rPr>
              <w:t>恒定湿热</w:t>
            </w:r>
          </w:p>
        </w:tc>
        <w:tc>
          <w:tcPr>
            <w:tcW w:w="1365" w:type="dxa"/>
            <w:shd w:val="clear" w:color="auto" w:fill="auto"/>
            <w:vAlign w:val="center"/>
          </w:tcPr>
          <w:p>
            <w:pPr>
              <w:pStyle w:val="207"/>
              <w:numPr>
                <w:ilvl w:val="0"/>
                <w:numId w:val="0"/>
              </w:numPr>
              <w:tabs>
                <w:tab w:val="left" w:pos="850"/>
              </w:tabs>
              <w:ind w:leftChars="0"/>
              <w:jc w:val="center"/>
              <w:rPr>
                <w:rFonts w:hint="eastAsia"/>
                <w:szCs w:val="18"/>
              </w:rPr>
            </w:pPr>
            <w:r>
              <w:rPr>
                <w:rFonts w:hint="eastAsia"/>
                <w:szCs w:val="18"/>
              </w:rPr>
              <w:t>40土2</w:t>
            </w:r>
          </w:p>
        </w:tc>
        <w:tc>
          <w:tcPr>
            <w:tcW w:w="1388" w:type="dxa"/>
            <w:shd w:val="clear" w:color="auto" w:fill="auto"/>
            <w:vAlign w:val="center"/>
          </w:tcPr>
          <w:p>
            <w:pPr>
              <w:pStyle w:val="207"/>
              <w:numPr>
                <w:ilvl w:val="0"/>
                <w:numId w:val="0"/>
              </w:numPr>
              <w:tabs>
                <w:tab w:val="left" w:pos="850"/>
              </w:tabs>
              <w:ind w:leftChars="0"/>
              <w:jc w:val="center"/>
              <w:rPr>
                <w:rFonts w:hint="eastAsia"/>
                <w:szCs w:val="18"/>
              </w:rPr>
            </w:pPr>
            <w:r>
              <w:rPr>
                <w:rFonts w:hint="eastAsia"/>
                <w:szCs w:val="18"/>
              </w:rPr>
              <w:t>95土3</w:t>
            </w:r>
          </w:p>
        </w:tc>
        <w:tc>
          <w:tcPr>
            <w:tcW w:w="1410" w:type="dxa"/>
            <w:shd w:val="clear" w:color="auto" w:fill="auto"/>
            <w:vAlign w:val="center"/>
          </w:tcPr>
          <w:p>
            <w:pPr>
              <w:pStyle w:val="207"/>
              <w:numPr>
                <w:ilvl w:val="0"/>
                <w:numId w:val="0"/>
              </w:numPr>
              <w:tabs>
                <w:tab w:val="left" w:pos="850"/>
              </w:tabs>
              <w:ind w:leftChars="0"/>
              <w:jc w:val="center"/>
              <w:rPr>
                <w:rFonts w:hint="eastAsia"/>
                <w:szCs w:val="18"/>
              </w:rPr>
            </w:pPr>
            <w:r>
              <w:rPr>
                <w:rFonts w:hint="eastAsia"/>
                <w:szCs w:val="18"/>
              </w:rPr>
              <w:t>24</w:t>
            </w:r>
          </w:p>
        </w:tc>
        <w:tc>
          <w:tcPr>
            <w:tcW w:w="1320" w:type="dxa"/>
            <w:vMerge w:val="continue"/>
            <w:shd w:val="clear" w:color="auto" w:fill="auto"/>
            <w:vAlign w:val="center"/>
          </w:tcPr>
          <w:p>
            <w:pPr>
              <w:pStyle w:val="207"/>
              <w:numPr>
                <w:ilvl w:val="0"/>
                <w:numId w:val="0"/>
              </w:numPr>
              <w:tabs>
                <w:tab w:val="left" w:pos="850"/>
              </w:tabs>
              <w:ind w:leftChars="0"/>
              <w:jc w:val="center"/>
              <w:rPr>
                <w:rFonts w:hint="eastAsia"/>
                <w:szCs w:val="18"/>
              </w:rPr>
            </w:pPr>
          </w:p>
        </w:tc>
        <w:tc>
          <w:tcPr>
            <w:tcW w:w="1410" w:type="dxa"/>
            <w:shd w:val="clear" w:color="auto" w:fill="auto"/>
            <w:vAlign w:val="center"/>
          </w:tcPr>
          <w:p>
            <w:pPr>
              <w:pStyle w:val="207"/>
              <w:numPr>
                <w:ilvl w:val="0"/>
                <w:numId w:val="0"/>
              </w:numPr>
              <w:tabs>
                <w:tab w:val="left" w:pos="850"/>
              </w:tabs>
              <w:ind w:leftChars="0"/>
              <w:jc w:val="center"/>
              <w:rPr>
                <w:rFonts w:hint="eastAsia"/>
                <w:szCs w:val="18"/>
              </w:rPr>
            </w:pPr>
            <w:r>
              <w:rPr>
                <w:rFonts w:hint="eastAsia"/>
                <w:szCs w:val="18"/>
              </w:rPr>
              <w:t>不通电</w:t>
            </w:r>
          </w:p>
        </w:tc>
        <w:tc>
          <w:tcPr>
            <w:tcW w:w="1236" w:type="dxa"/>
            <w:vMerge w:val="continue"/>
            <w:shd w:val="clear" w:color="auto" w:fill="auto"/>
            <w:vAlign w:val="center"/>
          </w:tcPr>
          <w:p>
            <w:pPr>
              <w:pStyle w:val="207"/>
              <w:numPr>
                <w:ilvl w:val="0"/>
                <w:numId w:val="2"/>
              </w:numPr>
              <w:tabs>
                <w:tab w:val="left" w:pos="850"/>
              </w:tabs>
              <w:rPr>
                <w:rFonts w:hint="eastAsia"/>
                <w:szCs w:val="18"/>
              </w:rPr>
            </w:pPr>
          </w:p>
        </w:tc>
      </w:tr>
    </w:tbl>
    <w:p>
      <w:pPr>
        <w:pStyle w:val="124"/>
        <w:spacing w:before="120" w:after="120"/>
        <w:rPr>
          <w:rFonts w:hint="eastAsia"/>
        </w:rPr>
      </w:pPr>
      <w:r>
        <w:rPr>
          <w:rFonts w:hint="eastAsia"/>
        </w:rPr>
        <w:t>低温</w:t>
      </w:r>
    </w:p>
    <w:p>
      <w:pPr>
        <w:pStyle w:val="26"/>
        <w:ind w:firstLine="420"/>
        <w:rPr>
          <w:rFonts w:hint="eastAsia"/>
        </w:rPr>
      </w:pPr>
      <w:r>
        <w:rPr>
          <w:rFonts w:hint="eastAsia"/>
        </w:rPr>
        <w:t>按GB/T 2423.1规定的方法进行，试验条件</w:t>
      </w:r>
      <w:r>
        <w:rPr>
          <w:rFonts w:hint="eastAsia"/>
          <w:lang w:eastAsia="zh-CN"/>
        </w:rPr>
        <w:t>按</w:t>
      </w:r>
      <w:r>
        <w:rPr>
          <w:rFonts w:hint="eastAsia"/>
        </w:rPr>
        <w:t>表</w:t>
      </w:r>
      <w:r>
        <w:rPr>
          <w:rFonts w:hint="eastAsia"/>
          <w:lang w:val="en-US" w:eastAsia="zh-CN"/>
        </w:rPr>
        <w:t>1</w:t>
      </w:r>
      <w:r>
        <w:rPr>
          <w:rFonts w:hint="eastAsia"/>
        </w:rPr>
        <w:t>规定。</w:t>
      </w:r>
    </w:p>
    <w:p>
      <w:pPr>
        <w:pStyle w:val="124"/>
        <w:spacing w:before="120" w:after="120"/>
        <w:rPr>
          <w:rFonts w:hint="eastAsia"/>
        </w:rPr>
      </w:pPr>
      <w:r>
        <w:rPr>
          <w:rFonts w:hint="eastAsia"/>
        </w:rPr>
        <w:t>高温</w:t>
      </w:r>
    </w:p>
    <w:p>
      <w:pPr>
        <w:pStyle w:val="26"/>
        <w:ind w:firstLine="420"/>
        <w:rPr>
          <w:rFonts w:hint="eastAsia"/>
        </w:rPr>
      </w:pPr>
      <w:r>
        <w:rPr>
          <w:rFonts w:hint="eastAsia"/>
        </w:rPr>
        <w:t>按GB/T 2423.2规定的方法进行，试验条件</w:t>
      </w:r>
      <w:r>
        <w:rPr>
          <w:rFonts w:hint="eastAsia"/>
          <w:lang w:eastAsia="zh-CN"/>
        </w:rPr>
        <w:t>按</w:t>
      </w:r>
      <w:r>
        <w:rPr>
          <w:rFonts w:hint="eastAsia"/>
        </w:rPr>
        <w:t>表</w:t>
      </w:r>
      <w:r>
        <w:rPr>
          <w:rFonts w:hint="eastAsia"/>
          <w:lang w:val="en-US" w:eastAsia="zh-CN"/>
        </w:rPr>
        <w:t>1</w:t>
      </w:r>
      <w:r>
        <w:rPr>
          <w:rFonts w:hint="eastAsia"/>
        </w:rPr>
        <w:t>规定。</w:t>
      </w:r>
    </w:p>
    <w:p>
      <w:pPr>
        <w:pStyle w:val="124"/>
        <w:spacing w:before="120" w:after="120"/>
        <w:rPr>
          <w:rFonts w:hint="eastAsia"/>
        </w:rPr>
      </w:pPr>
      <w:r>
        <w:rPr>
          <w:rFonts w:hint="eastAsia"/>
        </w:rPr>
        <w:t>恒定湿热</w:t>
      </w:r>
    </w:p>
    <w:p>
      <w:pPr>
        <w:pStyle w:val="26"/>
        <w:ind w:firstLine="420"/>
        <w:rPr>
          <w:rFonts w:hint="eastAsia"/>
        </w:rPr>
      </w:pPr>
      <w:r>
        <w:rPr>
          <w:rFonts w:hint="eastAsia"/>
        </w:rPr>
        <w:t>按GB/T 2423.3规定的方法进行，试验条件</w:t>
      </w:r>
      <w:r>
        <w:rPr>
          <w:rFonts w:hint="eastAsia"/>
          <w:lang w:eastAsia="zh-CN"/>
        </w:rPr>
        <w:t>按</w:t>
      </w:r>
      <w:r>
        <w:rPr>
          <w:rFonts w:hint="eastAsia"/>
        </w:rPr>
        <w:t>表</w:t>
      </w:r>
      <w:r>
        <w:rPr>
          <w:rFonts w:hint="eastAsia"/>
          <w:lang w:val="en-US" w:eastAsia="zh-CN"/>
        </w:rPr>
        <w:t>1</w:t>
      </w:r>
      <w:r>
        <w:rPr>
          <w:rFonts w:hint="eastAsia"/>
        </w:rPr>
        <w:t>规定。</w:t>
      </w:r>
    </w:p>
    <w:bookmarkEnd w:id="20"/>
    <w:p>
      <w:pPr>
        <w:pStyle w:val="124"/>
        <w:spacing w:before="120" w:after="120"/>
        <w:rPr>
          <w:rFonts w:hint="eastAsia"/>
        </w:rPr>
      </w:pPr>
      <w:r>
        <w:rPr>
          <w:rFonts w:hint="eastAsia"/>
        </w:rPr>
        <w:t>耐腐蚀性</w:t>
      </w:r>
    </w:p>
    <w:p>
      <w:pPr>
        <w:pStyle w:val="26"/>
        <w:ind w:firstLine="420"/>
        <w:rPr>
          <w:rFonts w:hint="eastAsia"/>
        </w:rPr>
      </w:pPr>
      <w:r>
        <w:rPr>
          <w:rFonts w:hint="eastAsia"/>
        </w:rPr>
        <w:t>按GB/T 10125规定的</w:t>
      </w:r>
      <w:r>
        <w:rPr>
          <w:rFonts w:hint="eastAsia"/>
          <w:lang w:eastAsia="zh-CN"/>
        </w:rPr>
        <w:t>中性盐雾试验</w:t>
      </w:r>
      <w:r>
        <w:rPr>
          <w:rFonts w:hint="eastAsia"/>
        </w:rPr>
        <w:t>方法进行</w:t>
      </w:r>
      <w:r>
        <w:rPr>
          <w:rFonts w:hint="eastAsia"/>
          <w:lang w:val="en-US" w:eastAsia="zh-CN"/>
        </w:rPr>
        <w:t xml:space="preserve">24 </w:t>
      </w:r>
      <w:r>
        <w:rPr>
          <w:rFonts w:hint="default"/>
          <w:lang w:val="en-US" w:eastAsia="zh-CN"/>
        </w:rPr>
        <w:t>h</w:t>
      </w:r>
      <w:r>
        <w:rPr>
          <w:rFonts w:hint="eastAsia"/>
          <w:lang w:val="en-US" w:eastAsia="zh-CN"/>
        </w:rPr>
        <w:t>试验</w:t>
      </w:r>
      <w:r>
        <w:rPr>
          <w:rFonts w:hint="eastAsia"/>
          <w:lang w:eastAsia="zh-CN"/>
        </w:rPr>
        <w:t>，并</w:t>
      </w:r>
      <w:r>
        <w:rPr>
          <w:rFonts w:hint="eastAsia"/>
        </w:rPr>
        <w:t>按GB/T 6461—2002</w:t>
      </w:r>
      <w:r>
        <w:rPr>
          <w:rFonts w:hint="eastAsia"/>
          <w:lang w:eastAsia="zh-CN"/>
        </w:rPr>
        <w:t>的规定进行外观</w:t>
      </w:r>
      <w:r>
        <w:rPr>
          <w:rFonts w:hint="eastAsia"/>
        </w:rPr>
        <w:t>评级。</w:t>
      </w:r>
    </w:p>
    <w:p>
      <w:pPr>
        <w:pStyle w:val="120"/>
        <w:spacing w:before="240" w:after="240"/>
        <w:rPr>
          <w:rFonts w:hint="eastAsia"/>
        </w:rPr>
      </w:pPr>
      <w:r>
        <w:rPr>
          <w:rFonts w:hint="eastAsia"/>
        </w:rPr>
        <w:t>检验规则</w:t>
      </w:r>
    </w:p>
    <w:p>
      <w:pPr>
        <w:pStyle w:val="122"/>
        <w:spacing w:before="120" w:after="120"/>
        <w:rPr>
          <w:rFonts w:hint="eastAsia"/>
        </w:rPr>
      </w:pPr>
      <w:r>
        <w:rPr>
          <w:rFonts w:hint="eastAsia"/>
        </w:rPr>
        <w:t>出厂检验</w:t>
      </w:r>
    </w:p>
    <w:p>
      <w:pPr>
        <w:pStyle w:val="134"/>
        <w:keepNext w:val="0"/>
        <w:keepLines w:val="0"/>
        <w:pageBreakBefore w:val="0"/>
        <w:widowControl/>
        <w:kinsoku/>
        <w:wordWrap/>
        <w:overflowPunct/>
        <w:topLinePunct w:val="0"/>
        <w:autoSpaceDE/>
        <w:autoSpaceDN/>
        <w:bidi w:val="0"/>
        <w:adjustRightInd/>
        <w:snapToGrid/>
        <w:spacing w:before="0" w:after="0"/>
        <w:textAlignment w:val="auto"/>
      </w:pPr>
      <w:r>
        <w:rPr>
          <w:rFonts w:hint="eastAsia"/>
        </w:rPr>
        <w:t>每台售卖机应经出厂检验合格并签发合格证后方可出厂。</w:t>
      </w:r>
    </w:p>
    <w:p>
      <w:pPr>
        <w:pStyle w:val="134"/>
        <w:keepNext w:val="0"/>
        <w:keepLines w:val="0"/>
        <w:pageBreakBefore w:val="0"/>
        <w:widowControl/>
        <w:kinsoku/>
        <w:wordWrap/>
        <w:overflowPunct/>
        <w:topLinePunct w:val="0"/>
        <w:autoSpaceDE/>
        <w:autoSpaceDN/>
        <w:bidi w:val="0"/>
        <w:adjustRightInd/>
        <w:snapToGrid/>
        <w:spacing w:before="0" w:after="0"/>
        <w:textAlignment w:val="auto"/>
        <w:rPr>
          <w:rFonts w:hint="eastAsia"/>
        </w:rPr>
      </w:pPr>
      <w:r>
        <w:rPr>
          <w:rFonts w:hint="eastAsia"/>
        </w:rPr>
        <w:t>出厂检验项目为结构</w:t>
      </w:r>
      <w:r>
        <w:rPr>
          <w:rFonts w:hint="eastAsia"/>
          <w:lang w:eastAsia="zh-CN"/>
        </w:rPr>
        <w:t>、</w:t>
      </w:r>
      <w:r>
        <w:rPr>
          <w:rFonts w:hint="eastAsia"/>
        </w:rPr>
        <w:t>外观、尺寸、噪声</w:t>
      </w:r>
      <w:r>
        <w:rPr>
          <w:rFonts w:hint="eastAsia"/>
          <w:lang w:eastAsia="zh-CN"/>
        </w:rPr>
        <w:t>、绝缘电阻、电气强度</w:t>
      </w:r>
      <w:r>
        <w:rPr>
          <w:rFonts w:hint="eastAsia"/>
        </w:rPr>
        <w:t>。</w:t>
      </w:r>
    </w:p>
    <w:p>
      <w:pPr>
        <w:pStyle w:val="134"/>
        <w:keepNext w:val="0"/>
        <w:keepLines w:val="0"/>
        <w:pageBreakBefore w:val="0"/>
        <w:widowControl/>
        <w:kinsoku/>
        <w:wordWrap/>
        <w:overflowPunct/>
        <w:topLinePunct w:val="0"/>
        <w:autoSpaceDE/>
        <w:autoSpaceDN/>
        <w:bidi w:val="0"/>
        <w:adjustRightInd/>
        <w:snapToGrid/>
        <w:spacing w:before="0" w:after="0"/>
        <w:textAlignment w:val="auto"/>
        <w:rPr>
          <w:rFonts w:hint="eastAsia"/>
        </w:rPr>
      </w:pPr>
      <w:r>
        <w:rPr>
          <w:rFonts w:hint="eastAsia"/>
          <w:lang w:eastAsia="zh-CN"/>
        </w:rPr>
        <w:t>在</w:t>
      </w:r>
      <w:r>
        <w:rPr>
          <w:rFonts w:hint="eastAsia"/>
        </w:rPr>
        <w:t>出厂检验</w:t>
      </w:r>
      <w:r>
        <w:rPr>
          <w:rFonts w:hint="eastAsia"/>
          <w:lang w:eastAsia="zh-CN"/>
        </w:rPr>
        <w:t>中，若出现绝缘电阻、电气强度项目不合格，则判该售卖机不合格；</w:t>
      </w:r>
      <w:r>
        <w:rPr>
          <w:rFonts w:hint="eastAsia"/>
        </w:rPr>
        <w:t>若</w:t>
      </w:r>
      <w:r>
        <w:rPr>
          <w:rFonts w:hint="eastAsia"/>
          <w:lang w:eastAsia="zh-CN"/>
        </w:rPr>
        <w:t>出项其他项目</w:t>
      </w:r>
      <w:r>
        <w:rPr>
          <w:rFonts w:hint="eastAsia"/>
        </w:rPr>
        <w:t>不合格，则允许返修，返修后重新进行出厂检验，直至出厂检验合格后方可出厂。</w:t>
      </w:r>
    </w:p>
    <w:p>
      <w:pPr>
        <w:pStyle w:val="122"/>
        <w:spacing w:before="120" w:after="120"/>
        <w:rPr>
          <w:rFonts w:hint="eastAsia"/>
        </w:rPr>
      </w:pPr>
      <w:r>
        <w:rPr>
          <w:rFonts w:hint="eastAsia"/>
        </w:rPr>
        <w:t>型式检验</w:t>
      </w:r>
    </w:p>
    <w:p>
      <w:pPr>
        <w:pStyle w:val="134"/>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rPr>
      </w:pPr>
      <w:r>
        <w:rPr>
          <w:rFonts w:hint="eastAsia"/>
        </w:rPr>
        <w:t>正常生产每年进行</w:t>
      </w:r>
      <w:r>
        <w:rPr>
          <w:rFonts w:hint="eastAsia"/>
          <w:lang w:eastAsia="zh-CN"/>
        </w:rPr>
        <w:t>不少于一</w:t>
      </w:r>
      <w:r>
        <w:rPr>
          <w:rFonts w:hint="eastAsia"/>
        </w:rPr>
        <w:t>次型式检验，有下列情况之一时也应进行型式检验</w:t>
      </w:r>
      <w:r>
        <w:rPr>
          <w:rFonts w:hint="eastAsia"/>
          <w:lang w:eastAsia="zh-CN"/>
        </w:rPr>
        <w:t>：</w:t>
      </w:r>
    </w:p>
    <w:p>
      <w:pPr>
        <w:pStyle w:val="249"/>
        <w:keepNext w:val="0"/>
        <w:keepLines w:val="0"/>
        <w:pageBreakBefore w:val="0"/>
        <w:widowControl/>
        <w:numPr>
          <w:ilvl w:val="0"/>
          <w:numId w:val="29"/>
        </w:numPr>
        <w:kinsoku/>
        <w:wordWrap/>
        <w:overflowPunct/>
        <w:topLinePunct w:val="0"/>
        <w:autoSpaceDE/>
        <w:autoSpaceDN/>
        <w:bidi w:val="0"/>
        <w:adjustRightInd/>
        <w:snapToGrid/>
        <w:jc w:val="left"/>
        <w:textAlignment w:val="auto"/>
        <w:rPr>
          <w:rFonts w:hint="eastAsia"/>
        </w:rPr>
      </w:pPr>
      <w:r>
        <w:rPr>
          <w:rFonts w:hint="eastAsia"/>
        </w:rPr>
        <w:t>新产品或老产品转厂定型时；</w:t>
      </w:r>
    </w:p>
    <w:p>
      <w:pPr>
        <w:pStyle w:val="249"/>
        <w:keepNext w:val="0"/>
        <w:keepLines w:val="0"/>
        <w:pageBreakBefore w:val="0"/>
        <w:widowControl/>
        <w:numPr>
          <w:ilvl w:val="0"/>
          <w:numId w:val="29"/>
        </w:numPr>
        <w:kinsoku/>
        <w:wordWrap/>
        <w:overflowPunct/>
        <w:topLinePunct w:val="0"/>
        <w:autoSpaceDE/>
        <w:autoSpaceDN/>
        <w:bidi w:val="0"/>
        <w:adjustRightInd/>
        <w:snapToGrid/>
        <w:jc w:val="left"/>
        <w:textAlignment w:val="auto"/>
        <w:rPr>
          <w:rFonts w:hint="eastAsia"/>
        </w:rPr>
      </w:pPr>
      <w:r>
        <w:rPr>
          <w:rFonts w:hint="eastAsia"/>
        </w:rPr>
        <w:t>正式生产后，如材料、结构、工艺有较大改变可能影响产品性能时；</w:t>
      </w:r>
    </w:p>
    <w:p>
      <w:pPr>
        <w:pStyle w:val="249"/>
        <w:keepNext w:val="0"/>
        <w:keepLines w:val="0"/>
        <w:pageBreakBefore w:val="0"/>
        <w:widowControl/>
        <w:numPr>
          <w:ilvl w:val="0"/>
          <w:numId w:val="29"/>
        </w:numPr>
        <w:kinsoku/>
        <w:wordWrap/>
        <w:overflowPunct/>
        <w:topLinePunct w:val="0"/>
        <w:autoSpaceDE/>
        <w:autoSpaceDN/>
        <w:bidi w:val="0"/>
        <w:adjustRightInd/>
        <w:snapToGrid/>
        <w:jc w:val="left"/>
        <w:textAlignment w:val="auto"/>
        <w:rPr>
          <w:rFonts w:hint="eastAsia"/>
        </w:rPr>
      </w:pPr>
      <w:r>
        <w:rPr>
          <w:rFonts w:hint="eastAsia"/>
        </w:rPr>
        <w:t>停产6个月以上再恢复生产时；</w:t>
      </w:r>
    </w:p>
    <w:p>
      <w:pPr>
        <w:pStyle w:val="249"/>
        <w:keepNext w:val="0"/>
        <w:keepLines w:val="0"/>
        <w:pageBreakBefore w:val="0"/>
        <w:widowControl/>
        <w:numPr>
          <w:ilvl w:val="0"/>
          <w:numId w:val="29"/>
        </w:numPr>
        <w:kinsoku/>
        <w:wordWrap/>
        <w:overflowPunct/>
        <w:topLinePunct w:val="0"/>
        <w:autoSpaceDE/>
        <w:autoSpaceDN/>
        <w:bidi w:val="0"/>
        <w:adjustRightInd/>
        <w:snapToGrid/>
        <w:jc w:val="left"/>
        <w:textAlignment w:val="auto"/>
        <w:rPr>
          <w:rFonts w:hint="eastAsia"/>
        </w:rPr>
      </w:pPr>
      <w:r>
        <w:rPr>
          <w:rFonts w:hint="eastAsia"/>
        </w:rPr>
        <w:t>出厂检验结果与上次型式检验结果有较大差异时；</w:t>
      </w:r>
    </w:p>
    <w:p>
      <w:pPr>
        <w:pStyle w:val="249"/>
        <w:keepNext w:val="0"/>
        <w:keepLines w:val="0"/>
        <w:pageBreakBefore w:val="0"/>
        <w:widowControl/>
        <w:numPr>
          <w:ilvl w:val="0"/>
          <w:numId w:val="29"/>
        </w:numPr>
        <w:kinsoku/>
        <w:wordWrap/>
        <w:overflowPunct/>
        <w:topLinePunct w:val="0"/>
        <w:autoSpaceDE/>
        <w:autoSpaceDN/>
        <w:bidi w:val="0"/>
        <w:adjustRightInd/>
        <w:snapToGrid/>
        <w:jc w:val="left"/>
        <w:textAlignment w:val="auto"/>
        <w:rPr>
          <w:rFonts w:hint="eastAsia"/>
        </w:rPr>
      </w:pPr>
      <w:r>
        <w:rPr>
          <w:rFonts w:hint="eastAsia"/>
        </w:rPr>
        <w:t>行业主管部门提出要求时。</w:t>
      </w:r>
    </w:p>
    <w:p>
      <w:pPr>
        <w:pStyle w:val="134"/>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rPr>
      </w:pPr>
      <w:r>
        <w:rPr>
          <w:rFonts w:hint="eastAsia"/>
        </w:rPr>
        <w:t>型式检验项目为本文件第</w:t>
      </w:r>
      <w:r>
        <w:rPr>
          <w:rFonts w:hint="eastAsia"/>
          <w:lang w:val="en-US" w:eastAsia="zh-CN"/>
        </w:rPr>
        <w:t>5</w:t>
      </w:r>
      <w:r>
        <w:rPr>
          <w:rFonts w:hint="eastAsia"/>
        </w:rPr>
        <w:t>章规定的所有项目。</w:t>
      </w:r>
    </w:p>
    <w:p>
      <w:pPr>
        <w:pStyle w:val="134"/>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rPr>
      </w:pPr>
      <w:r>
        <w:rPr>
          <w:rFonts w:hint="eastAsia"/>
        </w:rPr>
        <w:t>型式检验抽样应从出厂检验合格的产品中随机抽取2台。</w:t>
      </w:r>
    </w:p>
    <w:p>
      <w:pPr>
        <w:pStyle w:val="134"/>
        <w:keepNext w:val="0"/>
        <w:keepLines w:val="0"/>
        <w:pageBreakBefore w:val="0"/>
        <w:widowControl/>
        <w:kinsoku/>
        <w:wordWrap/>
        <w:overflowPunct/>
        <w:topLinePunct w:val="0"/>
        <w:autoSpaceDE/>
        <w:autoSpaceDN/>
        <w:bidi w:val="0"/>
        <w:adjustRightInd/>
        <w:snapToGrid/>
        <w:spacing w:before="0" w:beforeLines="0" w:after="0" w:afterLines="0"/>
        <w:textAlignment w:val="auto"/>
      </w:pPr>
      <w:r>
        <w:rPr>
          <w:rFonts w:hint="eastAsia"/>
        </w:rPr>
        <w:t>若型式检验所检项目全部</w:t>
      </w:r>
      <w:r>
        <w:rPr>
          <w:rFonts w:hint="eastAsia"/>
          <w:lang w:eastAsia="zh-CN"/>
        </w:rPr>
        <w:t>合格</w:t>
      </w:r>
      <w:r>
        <w:rPr>
          <w:rFonts w:hint="eastAsia"/>
        </w:rPr>
        <w:t>，则判型式检验合格。若有不合格项目，则判型式检验不合格。</w:t>
      </w:r>
    </w:p>
    <w:p>
      <w:pPr>
        <w:pStyle w:val="120"/>
        <w:spacing w:before="240" w:after="240"/>
        <w:rPr>
          <w:rFonts w:hint="eastAsia"/>
        </w:rPr>
      </w:pPr>
      <w:r>
        <w:rPr>
          <w:rFonts w:hint="eastAsia"/>
        </w:rPr>
        <w:t>标志、使用信息、包装、运输与贮存</w:t>
      </w:r>
    </w:p>
    <w:p>
      <w:pPr>
        <w:pStyle w:val="122"/>
        <w:spacing w:before="120" w:after="120"/>
        <w:rPr>
          <w:rFonts w:hint="eastAsia"/>
        </w:rPr>
      </w:pPr>
      <w:r>
        <w:rPr>
          <w:rFonts w:hint="eastAsia"/>
        </w:rPr>
        <w:t>标志</w:t>
      </w:r>
    </w:p>
    <w:p>
      <w:pPr>
        <w:pStyle w:val="26"/>
        <w:ind w:firstLine="420"/>
        <w:rPr>
          <w:rFonts w:hint="eastAsia" w:eastAsia="宋体"/>
          <w:lang w:eastAsia="zh-CN"/>
        </w:rPr>
      </w:pPr>
      <w:r>
        <w:rPr>
          <w:rFonts w:hint="eastAsia"/>
        </w:rPr>
        <w:t>售卖机应在明显位置设置耐久性标牌，其尺寸符合GB/T 13306的规定。标志</w:t>
      </w:r>
      <w:r>
        <w:rPr>
          <w:rFonts w:hint="eastAsia"/>
          <w:lang w:eastAsia="zh-CN"/>
        </w:rPr>
        <w:t>除</w:t>
      </w:r>
      <w:r>
        <w:rPr>
          <w:rFonts w:hint="eastAsia"/>
        </w:rPr>
        <w:t>应符合GB</w:t>
      </w:r>
      <w:r>
        <w:rPr>
          <w:rFonts w:hint="eastAsia"/>
          <w:lang w:val="en-US" w:eastAsia="zh-CN"/>
        </w:rPr>
        <w:t>/T</w:t>
      </w:r>
      <w:r>
        <w:rPr>
          <w:rFonts w:hint="eastAsia"/>
        </w:rPr>
        <w:t xml:space="preserve"> 4706.1、GB</w:t>
      </w:r>
      <w:r>
        <w:rPr>
          <w:rFonts w:hint="eastAsia"/>
          <w:lang w:val="en-US" w:eastAsia="zh-CN"/>
        </w:rPr>
        <w:t>/T</w:t>
      </w:r>
      <w:r>
        <w:rPr>
          <w:rFonts w:hint="eastAsia"/>
        </w:rPr>
        <w:t xml:space="preserve"> 4706.72的规定</w:t>
      </w:r>
      <w:r>
        <w:rPr>
          <w:rFonts w:hint="eastAsia"/>
          <w:lang w:eastAsia="zh-CN"/>
        </w:rPr>
        <w:t>外，还</w:t>
      </w:r>
      <w:r>
        <w:rPr>
          <w:rFonts w:hint="eastAsia"/>
        </w:rPr>
        <w:t>应至少</w:t>
      </w:r>
      <w:r>
        <w:rPr>
          <w:rFonts w:hint="eastAsia"/>
          <w:lang w:eastAsia="zh-CN"/>
        </w:rPr>
        <w:t>包括</w:t>
      </w:r>
      <w:r>
        <w:rPr>
          <w:rFonts w:hint="eastAsia"/>
        </w:rPr>
        <w:t>以下内容</w:t>
      </w:r>
      <w:r>
        <w:rPr>
          <w:rFonts w:hint="eastAsia"/>
          <w:lang w:eastAsia="zh-CN"/>
        </w:rPr>
        <w:t>：</w:t>
      </w:r>
    </w:p>
    <w:p>
      <w:pPr>
        <w:pStyle w:val="249"/>
        <w:numPr>
          <w:ilvl w:val="0"/>
          <w:numId w:val="30"/>
        </w:numPr>
        <w:jc w:val="left"/>
        <w:rPr>
          <w:rFonts w:hint="eastAsia"/>
        </w:rPr>
      </w:pPr>
      <w:r>
        <w:rPr>
          <w:rFonts w:hint="eastAsia"/>
        </w:rPr>
        <w:t>产品名称、型号；</w:t>
      </w:r>
    </w:p>
    <w:p>
      <w:pPr>
        <w:pStyle w:val="249"/>
        <w:numPr>
          <w:ilvl w:val="0"/>
          <w:numId w:val="30"/>
        </w:numPr>
        <w:jc w:val="left"/>
        <w:rPr>
          <w:rFonts w:hint="eastAsia"/>
        </w:rPr>
      </w:pPr>
      <w:r>
        <w:rPr>
          <w:rFonts w:hint="eastAsia"/>
        </w:rPr>
        <w:t>气候环境类型（温度）；</w:t>
      </w:r>
    </w:p>
    <w:p>
      <w:pPr>
        <w:pStyle w:val="249"/>
        <w:numPr>
          <w:ilvl w:val="0"/>
          <w:numId w:val="30"/>
        </w:numPr>
        <w:jc w:val="left"/>
        <w:rPr>
          <w:rFonts w:hint="eastAsia"/>
        </w:rPr>
      </w:pPr>
      <w:r>
        <w:rPr>
          <w:rFonts w:hint="eastAsia"/>
        </w:rPr>
        <w:t>制冷剂编号；</w:t>
      </w:r>
    </w:p>
    <w:p>
      <w:pPr>
        <w:pStyle w:val="249"/>
        <w:numPr>
          <w:ilvl w:val="0"/>
          <w:numId w:val="30"/>
        </w:numPr>
        <w:jc w:val="left"/>
        <w:rPr>
          <w:rFonts w:hint="eastAsia"/>
        </w:rPr>
      </w:pPr>
      <w:r>
        <w:rPr>
          <w:rFonts w:hint="eastAsia"/>
        </w:rPr>
        <w:t>日耗电量；</w:t>
      </w:r>
    </w:p>
    <w:p>
      <w:pPr>
        <w:pStyle w:val="249"/>
        <w:numPr>
          <w:ilvl w:val="0"/>
          <w:numId w:val="30"/>
        </w:numPr>
        <w:tabs>
          <w:tab w:val="left" w:pos="7770"/>
        </w:tabs>
        <w:jc w:val="left"/>
        <w:rPr>
          <w:rFonts w:hint="eastAsia"/>
        </w:rPr>
      </w:pPr>
      <w:r>
        <w:rPr>
          <w:rFonts w:hint="eastAsia"/>
        </w:rPr>
        <w:t>制造日期和出厂编号；</w:t>
      </w:r>
    </w:p>
    <w:p>
      <w:pPr>
        <w:pStyle w:val="249"/>
        <w:numPr>
          <w:ilvl w:val="0"/>
          <w:numId w:val="30"/>
        </w:numPr>
        <w:jc w:val="left"/>
        <w:rPr>
          <w:rFonts w:hint="eastAsia"/>
        </w:rPr>
      </w:pPr>
      <w:r>
        <w:rPr>
          <w:rFonts w:hint="eastAsia"/>
        </w:rPr>
        <w:t>制造厂名称；</w:t>
      </w:r>
    </w:p>
    <w:p>
      <w:pPr>
        <w:pStyle w:val="249"/>
        <w:numPr>
          <w:ilvl w:val="0"/>
          <w:numId w:val="30"/>
        </w:numPr>
        <w:jc w:val="left"/>
        <w:rPr>
          <w:rFonts w:hint="eastAsia"/>
        </w:rPr>
      </w:pPr>
      <w:r>
        <w:rPr>
          <w:rFonts w:hint="eastAsia"/>
        </w:rPr>
        <w:t>防护等级；</w:t>
      </w:r>
    </w:p>
    <w:p>
      <w:pPr>
        <w:pStyle w:val="249"/>
        <w:numPr>
          <w:ilvl w:val="0"/>
          <w:numId w:val="30"/>
        </w:numPr>
        <w:jc w:val="left"/>
      </w:pPr>
      <w:r>
        <w:rPr>
          <w:rFonts w:hint="eastAsia"/>
        </w:rPr>
        <w:t>执行标准编号。</w:t>
      </w:r>
    </w:p>
    <w:p>
      <w:pPr>
        <w:pStyle w:val="122"/>
        <w:spacing w:before="120" w:after="120"/>
        <w:rPr>
          <w:rFonts w:hint="eastAsia"/>
        </w:rPr>
      </w:pPr>
      <w:r>
        <w:rPr>
          <w:rFonts w:hint="eastAsia"/>
        </w:rPr>
        <w:t>使用信息</w:t>
      </w:r>
    </w:p>
    <w:p>
      <w:pPr>
        <w:pStyle w:val="26"/>
        <w:ind w:firstLine="420"/>
      </w:pPr>
      <w:r>
        <w:rPr>
          <w:rFonts w:hint="eastAsia"/>
        </w:rPr>
        <w:t>应符合QB/T 5663—2021中第7章的规定。</w:t>
      </w:r>
    </w:p>
    <w:p>
      <w:pPr>
        <w:pStyle w:val="122"/>
        <w:spacing w:before="120" w:after="120"/>
      </w:pPr>
      <w:r>
        <w:rPr>
          <w:rFonts w:hint="eastAsia"/>
        </w:rPr>
        <w:t>包装</w:t>
      </w:r>
    </w:p>
    <w:p>
      <w:pPr>
        <w:pStyle w:val="134"/>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rPr>
      </w:pPr>
      <w:r>
        <w:rPr>
          <w:rFonts w:hint="eastAsia"/>
        </w:rPr>
        <w:t>售卖机包装前，外露加工表面应进行防锈处理。</w:t>
      </w:r>
    </w:p>
    <w:p>
      <w:pPr>
        <w:pStyle w:val="134"/>
        <w:keepNext w:val="0"/>
        <w:keepLines w:val="0"/>
        <w:pageBreakBefore w:val="0"/>
        <w:widowControl/>
        <w:kinsoku/>
        <w:wordWrap/>
        <w:overflowPunct/>
        <w:topLinePunct w:val="0"/>
        <w:autoSpaceDE/>
        <w:autoSpaceDN/>
        <w:bidi w:val="0"/>
        <w:adjustRightInd/>
        <w:snapToGrid/>
        <w:spacing w:before="0" w:beforeLines="0" w:after="0" w:afterLines="0"/>
        <w:textAlignment w:val="auto"/>
      </w:pPr>
      <w:r>
        <w:rPr>
          <w:rFonts w:hint="eastAsia"/>
        </w:rPr>
        <w:t>运输包装应符合GB/T</w:t>
      </w:r>
      <w:r>
        <w:rPr>
          <w:rFonts w:hint="eastAsia"/>
          <w:lang w:val="en-US" w:eastAsia="zh-CN"/>
        </w:rPr>
        <w:t xml:space="preserve"> </w:t>
      </w:r>
      <w:r>
        <w:rPr>
          <w:rFonts w:hint="eastAsia"/>
        </w:rPr>
        <w:t>13384的规定。包装箱应牢固可靠</w:t>
      </w:r>
      <w:r>
        <w:rPr>
          <w:rFonts w:hint="eastAsia"/>
          <w:lang w:eastAsia="zh-CN"/>
        </w:rPr>
        <w:t>，</w:t>
      </w:r>
      <w:r>
        <w:rPr>
          <w:rFonts w:hint="eastAsia"/>
        </w:rPr>
        <w:t>适应运输装卸的要求</w:t>
      </w:r>
      <w:r>
        <w:rPr>
          <w:rFonts w:hint="eastAsia"/>
          <w:lang w:eastAsia="zh-CN"/>
        </w:rPr>
        <w:t>，</w:t>
      </w:r>
      <w:r>
        <w:rPr>
          <w:rFonts w:hint="eastAsia"/>
        </w:rPr>
        <w:t>应有防潮措施。</w:t>
      </w:r>
    </w:p>
    <w:p>
      <w:pPr>
        <w:pStyle w:val="134"/>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rPr>
      </w:pPr>
      <w:r>
        <w:rPr>
          <w:rFonts w:hint="eastAsia"/>
        </w:rPr>
        <w:t>售卖机随机专用工具及易损件应包装并固定在包装箱中。</w:t>
      </w:r>
    </w:p>
    <w:p>
      <w:pPr>
        <w:pStyle w:val="134"/>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rPr>
      </w:pPr>
      <w:r>
        <w:rPr>
          <w:rFonts w:hint="eastAsia"/>
        </w:rPr>
        <w:t>技术文件应妥善包装放在包装箱内，并应包括下列内容</w:t>
      </w:r>
      <w:r>
        <w:rPr>
          <w:rFonts w:hint="eastAsia"/>
          <w:lang w:eastAsia="zh-CN"/>
        </w:rPr>
        <w:t>：</w:t>
      </w:r>
    </w:p>
    <w:p>
      <w:pPr>
        <w:pStyle w:val="249"/>
        <w:keepNext w:val="0"/>
        <w:keepLines w:val="0"/>
        <w:pageBreakBefore w:val="0"/>
        <w:widowControl/>
        <w:numPr>
          <w:ilvl w:val="0"/>
          <w:numId w:val="31"/>
        </w:numPr>
        <w:kinsoku/>
        <w:wordWrap/>
        <w:overflowPunct/>
        <w:topLinePunct w:val="0"/>
        <w:autoSpaceDE/>
        <w:autoSpaceDN/>
        <w:bidi w:val="0"/>
        <w:adjustRightInd/>
        <w:snapToGrid/>
        <w:jc w:val="left"/>
        <w:textAlignment w:val="auto"/>
        <w:rPr>
          <w:rFonts w:hint="eastAsia"/>
        </w:rPr>
      </w:pPr>
      <w:r>
        <w:rPr>
          <w:rFonts w:hint="eastAsia"/>
        </w:rPr>
        <w:t>合格证；</w:t>
      </w:r>
    </w:p>
    <w:p>
      <w:pPr>
        <w:pStyle w:val="249"/>
        <w:keepNext w:val="0"/>
        <w:keepLines w:val="0"/>
        <w:pageBreakBefore w:val="0"/>
        <w:widowControl/>
        <w:numPr>
          <w:ilvl w:val="0"/>
          <w:numId w:val="31"/>
        </w:numPr>
        <w:kinsoku/>
        <w:wordWrap/>
        <w:overflowPunct/>
        <w:topLinePunct w:val="0"/>
        <w:autoSpaceDE/>
        <w:autoSpaceDN/>
        <w:bidi w:val="0"/>
        <w:adjustRightInd/>
        <w:snapToGrid/>
        <w:jc w:val="left"/>
        <w:textAlignment w:val="auto"/>
        <w:rPr>
          <w:rFonts w:hint="eastAsia"/>
        </w:rPr>
      </w:pPr>
      <w:r>
        <w:rPr>
          <w:rFonts w:hint="eastAsia"/>
        </w:rPr>
        <w:t>说明书；</w:t>
      </w:r>
    </w:p>
    <w:p>
      <w:pPr>
        <w:pStyle w:val="249"/>
        <w:keepNext w:val="0"/>
        <w:keepLines w:val="0"/>
        <w:pageBreakBefore w:val="0"/>
        <w:widowControl/>
        <w:numPr>
          <w:ilvl w:val="0"/>
          <w:numId w:val="31"/>
        </w:numPr>
        <w:kinsoku/>
        <w:wordWrap/>
        <w:overflowPunct/>
        <w:topLinePunct w:val="0"/>
        <w:autoSpaceDE/>
        <w:autoSpaceDN/>
        <w:bidi w:val="0"/>
        <w:adjustRightInd/>
        <w:snapToGrid/>
        <w:jc w:val="left"/>
        <w:textAlignment w:val="auto"/>
        <w:rPr>
          <w:rFonts w:hint="eastAsia"/>
        </w:rPr>
      </w:pPr>
      <w:r>
        <w:rPr>
          <w:rFonts w:hint="eastAsia"/>
        </w:rPr>
        <w:t>装箱单；</w:t>
      </w:r>
    </w:p>
    <w:p>
      <w:pPr>
        <w:pStyle w:val="249"/>
        <w:keepNext w:val="0"/>
        <w:keepLines w:val="0"/>
        <w:pageBreakBefore w:val="0"/>
        <w:widowControl/>
        <w:numPr>
          <w:ilvl w:val="0"/>
          <w:numId w:val="31"/>
        </w:numPr>
        <w:kinsoku/>
        <w:wordWrap/>
        <w:overflowPunct/>
        <w:topLinePunct w:val="0"/>
        <w:autoSpaceDE/>
        <w:autoSpaceDN/>
        <w:bidi w:val="0"/>
        <w:adjustRightInd/>
        <w:snapToGrid/>
        <w:jc w:val="left"/>
        <w:textAlignment w:val="auto"/>
        <w:rPr>
          <w:rFonts w:hint="eastAsia"/>
        </w:rPr>
      </w:pPr>
      <w:r>
        <w:rPr>
          <w:rFonts w:hint="eastAsia"/>
        </w:rPr>
        <w:t>保修单。</w:t>
      </w:r>
    </w:p>
    <w:p>
      <w:pPr>
        <w:pStyle w:val="134"/>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rPr>
      </w:pPr>
      <w:r>
        <w:rPr>
          <w:rFonts w:hint="eastAsia"/>
        </w:rPr>
        <w:t>包装箱外表面应清晰标出</w:t>
      </w:r>
      <w:r>
        <w:rPr>
          <w:rFonts w:hint="eastAsia"/>
          <w:lang w:eastAsia="zh-CN"/>
        </w:rPr>
        <w:t>符合</w:t>
      </w:r>
      <w:r>
        <w:rPr>
          <w:rFonts w:hint="eastAsia" w:ascii="宋体" w:hAnsi="Times New Roman" w:eastAsia="宋体" w:cs="Times New Roman"/>
        </w:rPr>
        <w:t>GB/T 6388</w:t>
      </w:r>
      <w:r>
        <w:rPr>
          <w:rFonts w:hint="eastAsia" w:cs="Times New Roman"/>
          <w:lang w:eastAsia="zh-CN"/>
        </w:rPr>
        <w:t>规定的</w:t>
      </w:r>
      <w:r>
        <w:rPr>
          <w:rFonts w:hint="eastAsia"/>
        </w:rPr>
        <w:t>发货和运输作业标志</w:t>
      </w:r>
      <w:r>
        <w:rPr>
          <w:rFonts w:hint="eastAsia"/>
          <w:lang w:eastAsia="zh-CN"/>
        </w:rPr>
        <w:t>，及</w:t>
      </w:r>
      <w:r>
        <w:rPr>
          <w:rFonts w:hint="eastAsia"/>
        </w:rPr>
        <w:t>符合GB/T 191</w:t>
      </w:r>
      <w:r>
        <w:rPr>
          <w:rFonts w:hint="eastAsia"/>
          <w:lang w:eastAsia="zh-CN"/>
        </w:rPr>
        <w:t>规定的包装储运图示标志</w:t>
      </w:r>
      <w:r>
        <w:rPr>
          <w:rFonts w:hint="eastAsia"/>
        </w:rPr>
        <w:t>。</w:t>
      </w:r>
    </w:p>
    <w:p>
      <w:pPr>
        <w:pStyle w:val="122"/>
        <w:spacing w:before="120" w:after="120"/>
        <w:rPr>
          <w:rFonts w:hint="eastAsia"/>
        </w:rPr>
      </w:pPr>
      <w:r>
        <w:rPr>
          <w:rFonts w:hint="eastAsia"/>
        </w:rPr>
        <w:t>运输</w:t>
      </w:r>
    </w:p>
    <w:p>
      <w:pPr>
        <w:pStyle w:val="134"/>
        <w:keepNext w:val="0"/>
        <w:keepLines w:val="0"/>
        <w:pageBreakBefore w:val="0"/>
        <w:widowControl/>
        <w:kinsoku/>
        <w:wordWrap/>
        <w:overflowPunct/>
        <w:topLinePunct w:val="0"/>
        <w:autoSpaceDE/>
        <w:autoSpaceDN/>
        <w:bidi w:val="0"/>
        <w:adjustRightInd/>
        <w:snapToGrid/>
        <w:spacing w:before="0" w:after="0"/>
        <w:textAlignment w:val="auto"/>
        <w:rPr>
          <w:rFonts w:hint="eastAsia"/>
        </w:rPr>
      </w:pPr>
      <w:r>
        <w:rPr>
          <w:rFonts w:hint="eastAsia"/>
        </w:rPr>
        <w:t>运输</w:t>
      </w:r>
      <w:r>
        <w:rPr>
          <w:rFonts w:hint="eastAsia"/>
          <w:lang w:eastAsia="zh-CN"/>
        </w:rPr>
        <w:t>过程中应避免</w:t>
      </w:r>
      <w:r>
        <w:rPr>
          <w:rFonts w:hint="eastAsia"/>
        </w:rPr>
        <w:t>强烈振荡、重压、日晒、雨淋，装卸时应轻拿轻放</w:t>
      </w:r>
      <w:r>
        <w:rPr>
          <w:rFonts w:hint="eastAsia"/>
          <w:lang w:eastAsia="zh-CN"/>
        </w:rPr>
        <w:t>，</w:t>
      </w:r>
      <w:r>
        <w:rPr>
          <w:rFonts w:hint="eastAsia"/>
        </w:rPr>
        <w:t>应按</w:t>
      </w:r>
      <w:r>
        <w:rPr>
          <w:rFonts w:hint="eastAsia"/>
          <w:lang w:eastAsia="zh-CN"/>
        </w:rPr>
        <w:t>要求</w:t>
      </w:r>
      <w:r>
        <w:rPr>
          <w:rFonts w:hint="eastAsia"/>
        </w:rPr>
        <w:t>规范放置，不应倒置和碰撞。</w:t>
      </w:r>
    </w:p>
    <w:p>
      <w:pPr>
        <w:pStyle w:val="134"/>
        <w:keepNext w:val="0"/>
        <w:keepLines w:val="0"/>
        <w:pageBreakBefore w:val="0"/>
        <w:widowControl/>
        <w:kinsoku/>
        <w:wordWrap/>
        <w:overflowPunct/>
        <w:topLinePunct w:val="0"/>
        <w:autoSpaceDE/>
        <w:autoSpaceDN/>
        <w:bidi w:val="0"/>
        <w:adjustRightInd/>
        <w:snapToGrid/>
        <w:spacing w:before="0" w:after="0"/>
        <w:textAlignment w:val="auto"/>
        <w:rPr>
          <w:rFonts w:hint="eastAsia"/>
        </w:rPr>
      </w:pPr>
      <w:r>
        <w:rPr>
          <w:rFonts w:hint="eastAsia"/>
        </w:rPr>
        <w:t>运输</w:t>
      </w:r>
      <w:r>
        <w:rPr>
          <w:rFonts w:hint="eastAsia"/>
          <w:lang w:eastAsia="zh-CN"/>
        </w:rPr>
        <w:t>交通工具</w:t>
      </w:r>
      <w:r>
        <w:rPr>
          <w:rFonts w:hint="eastAsia"/>
        </w:rPr>
        <w:t>应清洁、干燥、无污染</w:t>
      </w:r>
      <w:r>
        <w:rPr>
          <w:rFonts w:hint="eastAsia"/>
          <w:lang w:eastAsia="zh-CN"/>
        </w:rPr>
        <w:t>，</w:t>
      </w:r>
      <w:r>
        <w:rPr>
          <w:rFonts w:hint="eastAsia"/>
        </w:rPr>
        <w:t>且</w:t>
      </w:r>
      <w:r>
        <w:rPr>
          <w:rFonts w:hint="eastAsia"/>
          <w:lang w:eastAsia="zh-CN"/>
        </w:rPr>
        <w:t>应</w:t>
      </w:r>
      <w:r>
        <w:rPr>
          <w:rFonts w:hint="eastAsia"/>
        </w:rPr>
        <w:t>具有防晒、防雨措施。</w:t>
      </w:r>
    </w:p>
    <w:p>
      <w:pPr>
        <w:pStyle w:val="122"/>
        <w:spacing w:before="120" w:after="120"/>
        <w:rPr>
          <w:rFonts w:hint="eastAsia"/>
        </w:rPr>
      </w:pPr>
      <w:r>
        <w:rPr>
          <w:rFonts w:hint="eastAsia"/>
        </w:rPr>
        <w:t>贮存</w:t>
      </w:r>
    </w:p>
    <w:p>
      <w:pPr>
        <w:pStyle w:val="134"/>
        <w:keepNext w:val="0"/>
        <w:keepLines w:val="0"/>
        <w:pageBreakBefore w:val="0"/>
        <w:widowControl/>
        <w:kinsoku/>
        <w:wordWrap/>
        <w:overflowPunct/>
        <w:topLinePunct w:val="0"/>
        <w:autoSpaceDE/>
        <w:autoSpaceDN/>
        <w:bidi w:val="0"/>
        <w:adjustRightInd/>
        <w:snapToGrid/>
        <w:spacing w:before="0" w:after="0"/>
        <w:textAlignment w:val="auto"/>
        <w:rPr>
          <w:rFonts w:hint="eastAsia" w:ascii="宋体" w:hAnsi="宋体" w:eastAsia="宋体" w:cs="宋体"/>
        </w:rPr>
      </w:pPr>
      <w:r>
        <w:rPr>
          <w:rFonts w:hint="eastAsia" w:ascii="宋体" w:hAnsi="宋体" w:eastAsia="宋体" w:cs="宋体"/>
        </w:rPr>
        <w:t>售卖机应贮存于相对湿度小于85%且通风良好、无腐蚀气体的场所，不应颠倒、侧放。</w:t>
      </w:r>
    </w:p>
    <w:p>
      <w:pPr>
        <w:pStyle w:val="134"/>
        <w:keepNext w:val="0"/>
        <w:keepLines w:val="0"/>
        <w:pageBreakBefore w:val="0"/>
        <w:widowControl/>
        <w:kinsoku/>
        <w:wordWrap/>
        <w:overflowPunct/>
        <w:topLinePunct w:val="0"/>
        <w:autoSpaceDE/>
        <w:autoSpaceDN/>
        <w:bidi w:val="0"/>
        <w:adjustRightInd/>
        <w:snapToGrid/>
        <w:spacing w:before="0" w:after="0"/>
        <w:textAlignment w:val="auto"/>
        <w:rPr>
          <w:rFonts w:hint="eastAsia" w:eastAsia="宋体"/>
          <w:color w:val="auto"/>
          <w:spacing w:val="0"/>
          <w:lang w:eastAsia="zh-CN"/>
        </w:rPr>
      </w:pPr>
      <w:r>
        <w:rPr>
          <w:rFonts w:hint="eastAsia" w:ascii="宋体" w:hAnsi="宋体" w:eastAsia="宋体" w:cs="宋体"/>
        </w:rPr>
        <w:t>对临时露天存放的包装箱应采取防雨、防止曝晒、防潮和防碰撞等措施</w:t>
      </w:r>
      <w:r>
        <w:rPr>
          <w:rFonts w:hint="eastAsia" w:ascii="宋体" w:hAnsi="宋体" w:eastAsia="宋体" w:cs="宋体"/>
          <w:lang w:eastAsia="zh-CN"/>
        </w:rPr>
        <w:t>。</w:t>
      </w:r>
    </w:p>
    <w:p>
      <w:pPr>
        <w:pStyle w:val="120"/>
        <w:spacing w:before="312" w:after="312"/>
        <w:rPr>
          <w:color w:val="auto"/>
          <w:spacing w:val="0"/>
          <w:sz w:val="21"/>
        </w:rPr>
      </w:pPr>
      <w:r>
        <w:rPr>
          <w:rFonts w:hint="eastAsia"/>
          <w:color w:val="auto"/>
          <w:spacing w:val="0"/>
          <w:sz w:val="21"/>
        </w:rPr>
        <w:t>质量承诺</w:t>
      </w:r>
    </w:p>
    <w:p>
      <w:pPr>
        <w:pStyle w:val="122"/>
        <w:numPr>
          <w:ilvl w:val="1"/>
          <w:numId w:val="2"/>
        </w:numPr>
        <w:spacing w:beforeLines="0" w:afterLines="0"/>
        <w:rPr>
          <w:rFonts w:ascii="宋体" w:hAnsi="宋体" w:eastAsia="宋体"/>
          <w:color w:val="auto"/>
          <w:spacing w:val="0"/>
          <w:sz w:val="21"/>
        </w:rPr>
      </w:pPr>
      <w:r>
        <w:rPr>
          <w:rFonts w:hint="eastAsia" w:ascii="宋体" w:hAnsi="宋体" w:eastAsia="宋体"/>
          <w:color w:val="auto"/>
          <w:spacing w:val="0"/>
          <w:sz w:val="21"/>
        </w:rPr>
        <w:t>用户在遵守产品使用说明书规定的操作条件下，自出厂之日起，产品质保期36个月。质保期间若因质量问题造成产品故障的，制造商应负责免费更换。</w:t>
      </w:r>
    </w:p>
    <w:p>
      <w:pPr>
        <w:pStyle w:val="122"/>
        <w:numPr>
          <w:ilvl w:val="1"/>
          <w:numId w:val="2"/>
        </w:numPr>
        <w:spacing w:beforeLines="0" w:afterLines="0"/>
        <w:jc w:val="left"/>
        <w:rPr>
          <w:color w:val="auto"/>
          <w:spacing w:val="0"/>
          <w:sz w:val="21"/>
        </w:rPr>
      </w:pPr>
      <w:r>
        <w:rPr>
          <w:rFonts w:hint="eastAsia" w:ascii="宋体" w:hAnsi="宋体" w:eastAsia="宋体"/>
          <w:color w:val="auto"/>
          <w:spacing w:val="0"/>
          <w:sz w:val="21"/>
        </w:rPr>
        <w:t>如因操作不当或外部不可抗拒的因素所造成的非质量问题导致产品故障，或超过保修期的，制造商宜提供售后服务</w:t>
      </w:r>
      <w:r>
        <w:rPr>
          <w:rFonts w:hint="eastAsia"/>
          <w:color w:val="auto"/>
          <w:spacing w:val="0"/>
          <w:sz w:val="21"/>
        </w:rPr>
        <w:t>。</w:t>
      </w:r>
    </w:p>
    <w:p>
      <w:pPr>
        <w:pStyle w:val="122"/>
        <w:numPr>
          <w:ilvl w:val="1"/>
          <w:numId w:val="2"/>
        </w:numPr>
        <w:spacing w:beforeLines="0" w:afterLines="0"/>
        <w:jc w:val="left"/>
        <w:rPr>
          <w:rFonts w:ascii="宋体" w:hAnsi="宋体" w:eastAsia="宋体"/>
          <w:color w:val="auto"/>
          <w:spacing w:val="0"/>
          <w:sz w:val="21"/>
        </w:rPr>
      </w:pPr>
      <w:r>
        <w:rPr>
          <w:rFonts w:hint="eastAsia" w:ascii="宋体" w:hAnsi="宋体" w:eastAsia="宋体"/>
          <w:color w:val="auto"/>
          <w:spacing w:val="0"/>
          <w:sz w:val="21"/>
        </w:rPr>
        <w:t>应在24 h内对客户诉求做出响应。</w:t>
      </w:r>
    </w:p>
    <w:bookmarkEnd w:id="9"/>
    <w:p>
      <w:pPr>
        <w:pStyle w:val="26"/>
        <w:ind w:firstLine="197" w:firstLineChars="94"/>
        <w:jc w:val="center"/>
        <w:rPr>
          <w:color w:val="auto"/>
        </w:rPr>
      </w:pPr>
      <w:bookmarkStart w:id="21" w:name="BookMark8"/>
      <w:r>
        <w:rPr>
          <w:color w:val="auto"/>
        </w:rPr>
        <w:drawing>
          <wp:inline distT="0" distB="0" distL="0" distR="0">
            <wp:extent cx="1485900" cy="317500"/>
            <wp:effectExtent l="0" t="0" r="0" b="6350"/>
            <wp:docPr id="26" name="图片 26"/>
            <wp:cNvGraphicFramePr/>
            <a:graphic xmlns:a="http://schemas.openxmlformats.org/drawingml/2006/main">
              <a:graphicData uri="http://schemas.openxmlformats.org/drawingml/2006/picture">
                <pic:pic xmlns:pic="http://schemas.openxmlformats.org/drawingml/2006/picture">
                  <pic:nvPicPr>
                    <pic:cNvPr id="26" name="图片 26"/>
                    <pic:cNvPicPr/>
                  </pic:nvPicPr>
                  <pic:blipFill>
                    <a:blip r:embed="rId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1"/>
    </w:p>
    <w:sectPr>
      <w:pgSz w:w="11906" w:h="16838"/>
      <w:pgMar w:top="2409" w:right="1134" w:bottom="1134" w:left="1134" w:header="1417" w:footer="1134" w:gutter="283"/>
      <w:pgNumType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fldChar w:fldCharType="begin"/>
    </w:r>
    <w:r>
      <w:instrText xml:space="preserve"> PAGE  \* MERGEFORMAT </w:instrText>
    </w:r>
    <w:r>
      <w:fldChar w:fldCharType="separate"/>
    </w:r>
    <w:r>
      <w:t>9</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T/FSS XX—2024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B61D36"/>
    <w:multiLevelType w:val="multilevel"/>
    <w:tmpl w:val="80B61D36"/>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A47A3F3E"/>
    <w:multiLevelType w:val="multilevel"/>
    <w:tmpl w:val="A47A3F3E"/>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A5EF6051"/>
    <w:multiLevelType w:val="multilevel"/>
    <w:tmpl w:val="A5EF6051"/>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E9864FBB"/>
    <w:multiLevelType w:val="multilevel"/>
    <w:tmpl w:val="E9864FBB"/>
    <w:lvl w:ilvl="0" w:tentative="0">
      <w:start w:val="1"/>
      <w:numFmt w:val="decimal"/>
      <w:pStyle w:val="238"/>
      <w:suff w:val="nothing"/>
      <w:lvlText w:val="[%1]  "/>
      <w:lvlJc w:val="left"/>
      <w:pPr>
        <w:ind w:left="0" w:firstLine="363"/>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4">
    <w:nsid w:val="079102AD"/>
    <w:multiLevelType w:val="multilevel"/>
    <w:tmpl w:val="079102AD"/>
    <w:lvl w:ilvl="0" w:tentative="0">
      <w:start w:val="1"/>
      <w:numFmt w:val="decimal"/>
      <w:pStyle w:val="27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AE367E9"/>
    <w:multiLevelType w:val="multilevel"/>
    <w:tmpl w:val="0AE367E9"/>
    <w:lvl w:ilvl="0" w:tentative="0">
      <w:start w:val="1"/>
      <w:numFmt w:val="none"/>
      <w:pStyle w:val="26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17444CF9"/>
    <w:multiLevelType w:val="multilevel"/>
    <w:tmpl w:val="17444CF9"/>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lvlText w:val="%10.%2.%3.%4.%5 "/>
      <w:lvlJc w:val="left"/>
      <w:pPr>
        <w:ind w:left="198" w:firstLine="0"/>
      </w:pPr>
      <w:rPr>
        <w:rFonts w:hint="eastAsia" w:ascii="黑体" w:hAnsi="黑体" w:eastAsia="黑体"/>
        <w:sz w:val="20"/>
      </w:rPr>
    </w:lvl>
    <w:lvl w:ilvl="5" w:tentative="0">
      <w:start w:val="1"/>
      <w:numFmt w:val="decimal"/>
      <w:pStyle w:val="108"/>
      <w:lvlText w:val="%10.%2.%3.%4.%5.%6 "/>
      <w:lvlJc w:val="left"/>
      <w:pPr>
        <w:ind w:left="198" w:firstLine="0"/>
      </w:pPr>
      <w:rPr>
        <w:rFonts w:hint="eastAsia" w:ascii="黑体" w:hAnsi="黑体" w:eastAsia="黑体"/>
        <w:sz w:val="20"/>
      </w:r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7">
    <w:nsid w:val="19CB36CB"/>
    <w:multiLevelType w:val="multilevel"/>
    <w:tmpl w:val="19CB36CB"/>
    <w:lvl w:ilvl="0" w:tentative="0">
      <w:start w:val="1"/>
      <w:numFmt w:val="decimal"/>
      <w:pStyle w:val="253"/>
      <w:suff w:val="nothing"/>
      <w:lvlText w:val="%1　"/>
      <w:lvlJc w:val="left"/>
      <w:pPr>
        <w:ind w:left="0" w:firstLine="0"/>
      </w:pPr>
      <w:rPr>
        <w:rFonts w:hint="eastAsia" w:ascii="黑体" w:hAnsi="黑体" w:eastAsia="黑体"/>
        <w:sz w:val="20"/>
      </w:rPr>
    </w:lvl>
    <w:lvl w:ilvl="1" w:tentative="0">
      <w:start w:val="1"/>
      <w:numFmt w:val="decimal"/>
      <w:suff w:val="nothing"/>
      <w:lvlText w:val="%1.%2　"/>
      <w:lvlJc w:val="left"/>
      <w:pPr>
        <w:ind w:left="0" w:firstLine="0"/>
      </w:pPr>
      <w:rPr>
        <w:rFonts w:hint="eastAsia" w:ascii="黑体" w:hAnsi="黑体" w:eastAsia="黑体"/>
        <w:sz w:val="20"/>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8">
    <w:nsid w:val="1B01361B"/>
    <w:multiLevelType w:val="multilevel"/>
    <w:tmpl w:val="1B01361B"/>
    <w:lvl w:ilvl="0" w:tentative="0">
      <w:start w:val="1"/>
      <w:numFmt w:val="none"/>
      <w:lvlText w:val="%1——"/>
      <w:lvlJc w:val="left"/>
      <w:pPr>
        <w:ind w:left="1270" w:hanging="425"/>
      </w:pPr>
      <w:rPr>
        <w:rFonts w:ascii="Times New Roman" w:hAnsi="Times New Roman" w:cs="Times New Roman"/>
        <w:sz w:val="20"/>
      </w:rPr>
    </w:lvl>
    <w:lvl w:ilvl="1" w:tentative="0">
      <w:start w:val="1"/>
      <w:numFmt w:val="bullet"/>
      <w:lvlText w:val=""/>
      <w:lvlJc w:val="left"/>
      <w:pPr>
        <w:tabs>
          <w:tab w:val="left" w:pos="1185"/>
        </w:tabs>
        <w:ind w:left="1689" w:hanging="414"/>
      </w:pPr>
      <w:rPr>
        <w:rFonts w:hint="default" w:ascii="Symbol" w:hAnsi="Symbol"/>
        <w:color w:val="auto"/>
      </w:rPr>
    </w:lvl>
    <w:lvl w:ilvl="2" w:tentative="0">
      <w:start w:val="1"/>
      <w:numFmt w:val="bullet"/>
      <w:pStyle w:val="94"/>
      <w:lvlText w:val=""/>
      <w:lvlJc w:val="left"/>
      <w:pPr>
        <w:tabs>
          <w:tab w:val="left" w:pos="2103"/>
        </w:tabs>
        <w:ind w:left="2103" w:hanging="414"/>
      </w:pPr>
      <w:rPr>
        <w:rFonts w:hint="default" w:ascii="Symbol" w:hAnsi="Symbol"/>
        <w:color w:val="auto"/>
      </w:rPr>
    </w:lvl>
    <w:lvl w:ilvl="3" w:tentative="0">
      <w:start w:val="1"/>
      <w:numFmt w:val="lowerLetter"/>
      <w:lvlText w:val="%4."/>
      <w:lvlJc w:val="left"/>
      <w:pPr>
        <w:ind w:left="1984" w:hanging="283"/>
      </w:pPr>
    </w:lvl>
    <w:lvl w:ilvl="4" w:tentative="0">
      <w:start w:val="1"/>
      <w:numFmt w:val="decimal"/>
      <w:lvlText w:val="%5."/>
      <w:lvlJc w:val="left"/>
      <w:pPr>
        <w:ind w:left="2409" w:hanging="425"/>
      </w:pPr>
    </w:lvl>
    <w:lvl w:ilvl="5" w:tentative="0">
      <w:start w:val="1"/>
      <w:numFmt w:val="lowerLetter"/>
      <w:lvlText w:val="%6."/>
      <w:lvlJc w:val="left"/>
      <w:pPr>
        <w:ind w:left="2834" w:hanging="425"/>
      </w:pPr>
    </w:lvl>
    <w:lvl w:ilvl="6" w:tentative="0">
      <w:start w:val="1"/>
      <w:numFmt w:val="lowerRoman"/>
      <w:lvlText w:val="%7."/>
      <w:lvlJc w:val="left"/>
      <w:pPr>
        <w:ind w:left="3260" w:hanging="426"/>
      </w:pPr>
    </w:lvl>
    <w:lvl w:ilvl="7" w:tentative="0">
      <w:start w:val="1"/>
      <w:numFmt w:val="lowerLetter"/>
      <w:lvlText w:val="%8."/>
      <w:lvlJc w:val="left"/>
      <w:pPr>
        <w:ind w:left="3685" w:hanging="425"/>
      </w:pPr>
    </w:lvl>
    <w:lvl w:ilvl="8" w:tentative="0">
      <w:start w:val="1"/>
      <w:numFmt w:val="lowerRoman"/>
      <w:lvlText w:val="%9."/>
      <w:lvlJc w:val="left"/>
      <w:pPr>
        <w:ind w:left="4110" w:hanging="425"/>
      </w:pPr>
    </w:lvl>
  </w:abstractNum>
  <w:abstractNum w:abstractNumId="9">
    <w:nsid w:val="1FC91163"/>
    <w:multiLevelType w:val="multilevel"/>
    <w:tmpl w:val="1FC91163"/>
    <w:lvl w:ilvl="0" w:tentative="0">
      <w:start w:val="1"/>
      <w:numFmt w:val="decimal"/>
      <w:pStyle w:val="24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42"/>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44"/>
      <w:suff w:val="nothing"/>
      <w:lvlText w:val="%1.%2.%3　"/>
      <w:lvlJc w:val="left"/>
      <w:pPr>
        <w:ind w:left="0" w:firstLine="0"/>
      </w:pPr>
      <w:rPr>
        <w:rFonts w:hint="eastAsia" w:ascii="黑体" w:hAnsi="Times New Roman" w:eastAsia="黑体"/>
        <w:b w:val="0"/>
        <w:i w:val="0"/>
        <w:sz w:val="21"/>
      </w:rPr>
    </w:lvl>
    <w:lvl w:ilvl="3" w:tentative="0">
      <w:start w:val="1"/>
      <w:numFmt w:val="decimal"/>
      <w:pStyle w:val="245"/>
      <w:suff w:val="nothing"/>
      <w:lvlText w:val="%1.%2.%3.%4　"/>
      <w:lvlJc w:val="left"/>
      <w:pPr>
        <w:ind w:left="2940" w:firstLine="0"/>
      </w:pPr>
      <w:rPr>
        <w:rFonts w:hint="eastAsia" w:ascii="黑体" w:hAnsi="Times New Roman" w:eastAsia="黑体"/>
        <w:b w:val="0"/>
        <w:i w:val="0"/>
        <w:sz w:val="21"/>
      </w:rPr>
    </w:lvl>
    <w:lvl w:ilvl="4" w:tentative="0">
      <w:start w:val="1"/>
      <w:numFmt w:val="decimal"/>
      <w:pStyle w:val="247"/>
      <w:suff w:val="nothing"/>
      <w:lvlText w:val="%1.%2.%3.%4.%5　"/>
      <w:lvlJc w:val="left"/>
      <w:pPr>
        <w:ind w:left="0" w:firstLine="0"/>
      </w:pPr>
      <w:rPr>
        <w:rFonts w:hint="eastAsia" w:ascii="黑体" w:hAnsi="Times New Roman" w:eastAsia="黑体"/>
        <w:b w:val="0"/>
        <w:i w:val="0"/>
        <w:sz w:val="21"/>
      </w:rPr>
    </w:lvl>
    <w:lvl w:ilvl="5" w:tentative="0">
      <w:start w:val="1"/>
      <w:numFmt w:val="decimal"/>
      <w:pStyle w:val="24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21A61BEF"/>
    <w:multiLevelType w:val="multilevel"/>
    <w:tmpl w:val="21A61BEF"/>
    <w:lvl w:ilvl="0" w:tentative="0">
      <w:start w:val="1"/>
      <w:numFmt w:val="upperLetter"/>
      <w:pStyle w:val="152"/>
      <w:suff w:val="nothing"/>
      <w:lvlText w:val="附录%1"/>
      <w:lvlJc w:val="left"/>
      <w:pPr>
        <w:ind w:left="0" w:firstLine="0"/>
      </w:pPr>
      <w:rPr>
        <w:spacing w:val="102"/>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1">
    <w:nsid w:val="21B55B4C"/>
    <w:multiLevelType w:val="multilevel"/>
    <w:tmpl w:val="21B55B4C"/>
    <w:lvl w:ilvl="0" w:tentative="0">
      <w:start w:val="1"/>
      <w:numFmt w:val="decimal"/>
      <w:pStyle w:val="198"/>
      <w:suff w:val="nothing"/>
      <w:lvlText w:val="注%1："/>
      <w:lvlJc w:val="left"/>
      <w:pPr>
        <w:ind w:left="811" w:hanging="448"/>
      </w:pPr>
      <w:rPr>
        <w:rFonts w:hint="eastAsia" w:ascii="黑体" w:hAnsi="黑体" w:eastAsia="黑体"/>
        <w:sz w:val="18"/>
        <w:vertAlign w:val="baseline"/>
      </w:rPr>
    </w:lvl>
    <w:lvl w:ilvl="1" w:tentative="0">
      <w:start w:val="1"/>
      <w:numFmt w:val="decimalZero"/>
      <w:isLgl/>
      <w:lvlText w:val="节 %1.%2"/>
      <w:lvlJc w:val="left"/>
      <w:pPr>
        <w:ind w:left="363" w:firstLine="0"/>
      </w:pPr>
    </w:lvl>
    <w:lvl w:ilvl="2" w:tentative="0">
      <w:start w:val="1"/>
      <w:numFmt w:val="lowerLetter"/>
      <w:lvlText w:val="(%3)"/>
      <w:lvlJc w:val="left"/>
      <w:pPr>
        <w:ind w:left="1083" w:hanging="432"/>
      </w:pPr>
    </w:lvl>
    <w:lvl w:ilvl="3" w:tentative="0">
      <w:start w:val="1"/>
      <w:numFmt w:val="lowerRoman"/>
      <w:lvlText w:val="(%4)"/>
      <w:lvlJc w:val="right"/>
      <w:pPr>
        <w:ind w:left="1227" w:hanging="144"/>
      </w:pPr>
    </w:lvl>
    <w:lvl w:ilvl="4" w:tentative="0">
      <w:start w:val="1"/>
      <w:numFmt w:val="decimal"/>
      <w:lvlText w:val="%5)"/>
      <w:lvlJc w:val="left"/>
      <w:pPr>
        <w:ind w:left="1371" w:hanging="432"/>
      </w:pPr>
    </w:lvl>
    <w:lvl w:ilvl="5" w:tentative="0">
      <w:start w:val="1"/>
      <w:numFmt w:val="lowerLetter"/>
      <w:lvlText w:val="%6)"/>
      <w:lvlJc w:val="left"/>
      <w:pPr>
        <w:ind w:left="1515" w:hanging="432"/>
      </w:pPr>
    </w:lvl>
    <w:lvl w:ilvl="6" w:tentative="0">
      <w:start w:val="1"/>
      <w:numFmt w:val="lowerRoman"/>
      <w:lvlText w:val="%7)"/>
      <w:lvlJc w:val="right"/>
      <w:pPr>
        <w:ind w:left="1659" w:hanging="288"/>
      </w:pPr>
    </w:lvl>
    <w:lvl w:ilvl="7" w:tentative="0">
      <w:start w:val="1"/>
      <w:numFmt w:val="lowerLetter"/>
      <w:lvlText w:val="%8."/>
      <w:lvlJc w:val="left"/>
      <w:pPr>
        <w:ind w:left="1803" w:hanging="432"/>
      </w:pPr>
    </w:lvl>
    <w:lvl w:ilvl="8" w:tentative="0">
      <w:start w:val="1"/>
      <w:numFmt w:val="lowerRoman"/>
      <w:lvlText w:val="%9."/>
      <w:lvlJc w:val="right"/>
      <w:pPr>
        <w:ind w:left="1947" w:hanging="144"/>
      </w:pPr>
    </w:lvl>
  </w:abstractNum>
  <w:abstractNum w:abstractNumId="12">
    <w:nsid w:val="23FA5413"/>
    <w:multiLevelType w:val="multilevel"/>
    <w:tmpl w:val="23FA5413"/>
    <w:lvl w:ilvl="0" w:tentative="0">
      <w:start w:val="1"/>
      <w:numFmt w:val="none"/>
      <w:lvlText w:val="%1"/>
      <w:lvlJc w:val="left"/>
      <w:pPr>
        <w:ind w:left="623" w:hanging="425"/>
      </w:pPr>
    </w:lvl>
    <w:lvl w:ilvl="1" w:tentative="0">
      <w:start w:val="1"/>
      <w:numFmt w:val="decimal"/>
      <w:pStyle w:val="100"/>
      <w:lvlText w:val="%10.%2 "/>
      <w:lvlJc w:val="left"/>
      <w:pPr>
        <w:ind w:left="198" w:firstLine="0"/>
      </w:pPr>
      <w:rPr>
        <w:rFonts w:hint="eastAsia" w:ascii="黑体" w:hAnsi="黑体" w:eastAsia="黑体"/>
        <w:sz w:val="20"/>
      </w:rPr>
    </w:lvl>
    <w:lvl w:ilvl="2" w:tentative="0">
      <w:start w:val="1"/>
      <w:numFmt w:val="decimal"/>
      <w:lvlText w:val="%1.%2.%3"/>
      <w:lvlJc w:val="left"/>
      <w:pPr>
        <w:ind w:left="1616" w:hanging="567"/>
      </w:p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3">
    <w:nsid w:val="2B800546"/>
    <w:multiLevelType w:val="multilevel"/>
    <w:tmpl w:val="2B800546"/>
    <w:lvl w:ilvl="0" w:tentative="0">
      <w:start w:val="1"/>
      <w:numFmt w:val="lowerLetter"/>
      <w:pStyle w:val="96"/>
      <w:lvlText w:val="%1)"/>
      <w:lvlJc w:val="left"/>
      <w:pPr>
        <w:tabs>
          <w:tab w:val="left" w:pos="850"/>
        </w:tabs>
        <w:ind w:left="850" w:hanging="425"/>
      </w:pPr>
      <w:rPr>
        <w:rFonts w:hint="eastAsia" w:ascii="宋体" w:hAnsi="宋体" w:eastAsia="宋体"/>
        <w:sz w:val="20"/>
      </w:rPr>
    </w:lvl>
    <w:lvl w:ilvl="1" w:tentative="0">
      <w:start w:val="1"/>
      <w:numFmt w:val="decimal"/>
      <w:pStyle w:val="98"/>
      <w:lvlText w:val="%2)"/>
      <w:lvlJc w:val="left"/>
      <w:pPr>
        <w:tabs>
          <w:tab w:val="left" w:pos="1276"/>
        </w:tabs>
        <w:ind w:left="1276" w:hanging="426"/>
      </w:pPr>
      <w:rPr>
        <w:rFonts w:hint="eastAsia" w:ascii="宋体" w:hAnsi="Times New Roman" w:eastAsia="宋体" w:cs="Times New Roman"/>
        <w:color w:val="auto"/>
        <w:sz w:val="21"/>
      </w:rPr>
    </w:lvl>
    <w:lvl w:ilvl="2" w:tentative="0">
      <w:start w:val="1"/>
      <w:numFmt w:val="decimal"/>
      <w:lvlText w:val="%3."/>
      <w:lvlJc w:val="left"/>
      <w:pPr>
        <w:ind w:left="1276" w:hanging="425"/>
      </w:pPr>
      <w:rPr>
        <w:rFonts w:hint="default"/>
        <w:color w:val="auto"/>
      </w:rPr>
    </w:lvl>
    <w:lvl w:ilvl="3" w:tentative="0">
      <w:start w:val="1"/>
      <w:numFmt w:val="lowerLetter"/>
      <w:lvlText w:val="%4."/>
      <w:lvlJc w:val="left"/>
      <w:pPr>
        <w:ind w:left="1559" w:hanging="283"/>
      </w:pPr>
      <w:rPr>
        <w:rFonts w:hint="eastAsia"/>
      </w:rPr>
    </w:lvl>
    <w:lvl w:ilvl="4" w:tentative="0">
      <w:start w:val="1"/>
      <w:numFmt w:val="decimal"/>
      <w:lvlText w:val="%5."/>
      <w:lvlJc w:val="left"/>
      <w:pPr>
        <w:ind w:left="1984" w:hanging="425"/>
      </w:pPr>
      <w:rPr>
        <w:rFonts w:hint="eastAsia"/>
      </w:rPr>
    </w:lvl>
    <w:lvl w:ilvl="5" w:tentative="0">
      <w:start w:val="1"/>
      <w:numFmt w:val="lowerLetter"/>
      <w:lvlText w:val="%6."/>
      <w:lvlJc w:val="left"/>
      <w:pPr>
        <w:ind w:left="2409" w:hanging="425"/>
      </w:pPr>
      <w:rPr>
        <w:rFonts w:hint="eastAsia"/>
      </w:rPr>
    </w:lvl>
    <w:lvl w:ilvl="6" w:tentative="0">
      <w:start w:val="1"/>
      <w:numFmt w:val="lowerRoman"/>
      <w:lvlText w:val="%7."/>
      <w:lvlJc w:val="left"/>
      <w:pPr>
        <w:ind w:left="2835" w:hanging="426"/>
      </w:pPr>
      <w:rPr>
        <w:rFonts w:hint="eastAsia"/>
      </w:rPr>
    </w:lvl>
    <w:lvl w:ilvl="7" w:tentative="0">
      <w:start w:val="1"/>
      <w:numFmt w:val="lowerLetter"/>
      <w:lvlText w:val="%8."/>
      <w:lvlJc w:val="left"/>
      <w:pPr>
        <w:ind w:left="3260" w:hanging="425"/>
      </w:pPr>
      <w:rPr>
        <w:rFonts w:hint="eastAsia"/>
      </w:rPr>
    </w:lvl>
    <w:lvl w:ilvl="8" w:tentative="0">
      <w:start w:val="1"/>
      <w:numFmt w:val="lowerRoman"/>
      <w:lvlText w:val="%9."/>
      <w:lvlJc w:val="left"/>
      <w:pPr>
        <w:ind w:left="3685" w:hanging="425"/>
      </w:pPr>
      <w:rPr>
        <w:rFonts w:hint="eastAsia"/>
      </w:rPr>
    </w:lvl>
  </w:abstractNum>
  <w:abstractNum w:abstractNumId="14">
    <w:nsid w:val="2CA27D10"/>
    <w:multiLevelType w:val="multilevel"/>
    <w:tmpl w:val="2CA27D10"/>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pStyle w:val="102"/>
      <w:lvlText w:val="%10.%2.%3 "/>
      <w:lvlJc w:val="left"/>
      <w:pPr>
        <w:ind w:left="198" w:firstLine="0"/>
      </w:pPr>
      <w:rPr>
        <w:rFonts w:hint="eastAsia" w:ascii="黑体" w:hAnsi="黑体" w:eastAsia="黑体"/>
        <w:sz w:val="20"/>
      </w:r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5">
    <w:nsid w:val="2F7737BD"/>
    <w:multiLevelType w:val="multilevel"/>
    <w:tmpl w:val="2F7737BD"/>
    <w:lvl w:ilvl="0" w:tentative="0">
      <w:start w:val="1"/>
      <w:numFmt w:val="none"/>
      <w:pStyle w:val="196"/>
      <w:suff w:val="nothing"/>
      <w:lvlText w:val="注："/>
      <w:lvlJc w:val="left"/>
      <w:pPr>
        <w:ind w:left="737" w:hanging="374"/>
      </w:pPr>
      <w:rPr>
        <w:rFonts w:hint="eastAsia" w:ascii="黑体" w:hAnsi="黑体" w:eastAsia="黑体"/>
        <w:sz w:val="18"/>
        <w:vertAlign w:val="baseline"/>
      </w:rPr>
    </w:lvl>
    <w:lvl w:ilvl="1" w:tentative="0">
      <w:start w:val="1"/>
      <w:numFmt w:val="decimalZero"/>
      <w:pStyle w:val="3"/>
      <w:isLgl/>
      <w:lvlText w:val="节 %1.%2"/>
      <w:lvlJc w:val="left"/>
      <w:pPr>
        <w:ind w:left="0" w:firstLine="0"/>
      </w:pPr>
    </w:lvl>
    <w:lvl w:ilvl="2" w:tentative="0">
      <w:start w:val="1"/>
      <w:numFmt w:val="lowerLetter"/>
      <w:pStyle w:val="4"/>
      <w:lvlText w:val="(%3)"/>
      <w:lvlJc w:val="left"/>
      <w:pPr>
        <w:ind w:left="720" w:hanging="432"/>
      </w:pPr>
    </w:lvl>
    <w:lvl w:ilvl="3" w:tentative="0">
      <w:start w:val="1"/>
      <w:numFmt w:val="lowerRoman"/>
      <w:pStyle w:val="5"/>
      <w:lvlText w:val="(%4)"/>
      <w:lvlJc w:val="right"/>
      <w:pPr>
        <w:ind w:left="864" w:hanging="144"/>
      </w:pPr>
    </w:lvl>
    <w:lvl w:ilvl="4" w:tentative="0">
      <w:start w:val="1"/>
      <w:numFmt w:val="decimal"/>
      <w:pStyle w:val="6"/>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pStyle w:val="9"/>
      <w:lvlText w:val="%8."/>
      <w:lvlJc w:val="left"/>
      <w:pPr>
        <w:ind w:left="1440" w:hanging="432"/>
      </w:pPr>
    </w:lvl>
    <w:lvl w:ilvl="8" w:tentative="0">
      <w:start w:val="1"/>
      <w:numFmt w:val="lowerRoman"/>
      <w:pStyle w:val="10"/>
      <w:lvlText w:val="%9."/>
      <w:lvlJc w:val="right"/>
      <w:pPr>
        <w:ind w:left="1584" w:hanging="144"/>
      </w:pPr>
    </w:lvl>
  </w:abstractNum>
  <w:abstractNum w:abstractNumId="16">
    <w:nsid w:val="3F7474FF"/>
    <w:multiLevelType w:val="multilevel"/>
    <w:tmpl w:val="3F7474FF"/>
    <w:lvl w:ilvl="0" w:tentative="0">
      <w:start w:val="1"/>
      <w:numFmt w:val="none"/>
      <w:lvlText w:val="%1——"/>
      <w:lvlJc w:val="left"/>
      <w:pPr>
        <w:ind w:left="1695" w:hanging="425"/>
      </w:pPr>
      <w:rPr>
        <w:rFonts w:hint="eastAsia" w:ascii="Times New Roman" w:hAnsi="Times New Roman" w:cs="Times New Roman"/>
        <w:sz w:val="20"/>
      </w:rPr>
    </w:lvl>
    <w:lvl w:ilvl="1" w:tentative="0">
      <w:start w:val="1"/>
      <w:numFmt w:val="bullet"/>
      <w:pStyle w:val="92"/>
      <w:lvlText w:val=""/>
      <w:lvlJc w:val="left"/>
      <w:pPr>
        <w:ind w:left="851" w:hanging="431"/>
      </w:pPr>
      <w:rPr>
        <w:rFonts w:hint="default" w:ascii="Symbol" w:hAnsi="Symbol"/>
        <w:color w:val="auto"/>
      </w:rPr>
    </w:lvl>
    <w:lvl w:ilvl="2" w:tentative="0">
      <w:start w:val="1"/>
      <w:numFmt w:val="decimal"/>
      <w:lvlText w:val="%3."/>
      <w:lvlJc w:val="left"/>
      <w:pPr>
        <w:ind w:left="2126" w:hanging="425"/>
      </w:pPr>
      <w:rPr>
        <w:rFonts w:hint="eastAsia"/>
      </w:rPr>
    </w:lvl>
    <w:lvl w:ilvl="3" w:tentative="0">
      <w:start w:val="1"/>
      <w:numFmt w:val="lowerLetter"/>
      <w:lvlText w:val="%4."/>
      <w:lvlJc w:val="left"/>
      <w:pPr>
        <w:ind w:left="2409" w:hanging="283"/>
      </w:pPr>
      <w:rPr>
        <w:rFonts w:hint="eastAsia"/>
      </w:rPr>
    </w:lvl>
    <w:lvl w:ilvl="4" w:tentative="0">
      <w:start w:val="1"/>
      <w:numFmt w:val="decimal"/>
      <w:lvlText w:val="%5."/>
      <w:lvlJc w:val="left"/>
      <w:pPr>
        <w:ind w:left="2834" w:hanging="425"/>
      </w:pPr>
      <w:rPr>
        <w:rFonts w:hint="eastAsia"/>
      </w:rPr>
    </w:lvl>
    <w:lvl w:ilvl="5" w:tentative="0">
      <w:start w:val="1"/>
      <w:numFmt w:val="lowerLetter"/>
      <w:lvlText w:val="%6."/>
      <w:lvlJc w:val="left"/>
      <w:pPr>
        <w:ind w:left="3259" w:hanging="425"/>
      </w:pPr>
      <w:rPr>
        <w:rFonts w:hint="eastAsia"/>
      </w:rPr>
    </w:lvl>
    <w:lvl w:ilvl="6" w:tentative="0">
      <w:start w:val="1"/>
      <w:numFmt w:val="lowerRoman"/>
      <w:lvlText w:val="%7."/>
      <w:lvlJc w:val="left"/>
      <w:pPr>
        <w:ind w:left="3685" w:hanging="426"/>
      </w:pPr>
      <w:rPr>
        <w:rFonts w:hint="eastAsia"/>
      </w:rPr>
    </w:lvl>
    <w:lvl w:ilvl="7" w:tentative="0">
      <w:start w:val="1"/>
      <w:numFmt w:val="lowerLetter"/>
      <w:lvlText w:val="%8."/>
      <w:lvlJc w:val="left"/>
      <w:pPr>
        <w:ind w:left="4110" w:hanging="425"/>
      </w:pPr>
      <w:rPr>
        <w:rFonts w:hint="eastAsia"/>
      </w:rPr>
    </w:lvl>
    <w:lvl w:ilvl="8" w:tentative="0">
      <w:start w:val="1"/>
      <w:numFmt w:val="lowerRoman"/>
      <w:lvlText w:val="%9."/>
      <w:lvlJc w:val="left"/>
      <w:pPr>
        <w:ind w:left="4535" w:hanging="425"/>
      </w:pPr>
      <w:rPr>
        <w:rFonts w:hint="eastAsia"/>
      </w:rPr>
    </w:lvl>
  </w:abstractNum>
  <w:abstractNum w:abstractNumId="17">
    <w:nsid w:val="44C50F90"/>
    <w:multiLevelType w:val="multilevel"/>
    <w:tmpl w:val="44C50F90"/>
    <w:lvl w:ilvl="0" w:tentative="0">
      <w:start w:val="1"/>
      <w:numFmt w:val="lowerLetter"/>
      <w:pStyle w:val="249"/>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246"/>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250"/>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b w:val="0"/>
        <w:i w:val="0"/>
        <w:sz w:val="21"/>
      </w:rPr>
    </w:lvl>
    <w:lvl w:ilvl="4" w:tentative="0">
      <w:start w:val="1"/>
      <w:numFmt w:val="lowerLetter"/>
      <w:lvlText w:val="%5)"/>
      <w:lvlJc w:val="left"/>
      <w:pPr>
        <w:tabs>
          <w:tab w:val="left" w:pos="2517"/>
        </w:tabs>
        <w:ind w:left="2517" w:hanging="419"/>
      </w:pPr>
      <w:rPr>
        <w:rFonts w:hint="eastAsia" w:ascii="黑体" w:eastAsia="Times New Roman"/>
        <w:b w:val="0"/>
        <w:i w:val="0"/>
        <w:sz w:val="21"/>
        <w:lang w:val="en-US" w:eastAsia="zh-CN" w:bidi="ar-SA"/>
      </w:rPr>
    </w:lvl>
    <w:lvl w:ilvl="5" w:tentative="0">
      <w:start w:val="1"/>
      <w:numFmt w:val="lowerRoman"/>
      <w:lvlText w:val="%6."/>
      <w:lvlJc w:val="right"/>
      <w:pPr>
        <w:tabs>
          <w:tab w:val="left" w:pos="2942"/>
        </w:tabs>
        <w:ind w:left="2937" w:hanging="420"/>
      </w:pPr>
      <w:rPr>
        <w:rFonts w:hint="eastAsia"/>
        <w:b w:val="0"/>
        <w:i w:val="0"/>
        <w:sz w:val="21"/>
      </w:rPr>
    </w:lvl>
    <w:lvl w:ilvl="6" w:tentative="0">
      <w:start w:val="1"/>
      <w:numFmt w:val="decimal"/>
      <w:lvlText w:val="%7."/>
      <w:lvlJc w:val="left"/>
      <w:pPr>
        <w:tabs>
          <w:tab w:val="left" w:pos="3362"/>
        </w:tabs>
        <w:ind w:left="3356" w:hanging="414"/>
      </w:pPr>
      <w:rPr>
        <w:rFonts w:hint="eastAsia"/>
        <w:b w:val="0"/>
        <w:i w:val="0"/>
        <w:sz w:val="21"/>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8">
    <w:nsid w:val="4EAE85ED"/>
    <w:multiLevelType w:val="multilevel"/>
    <w:tmpl w:val="4EAE85ED"/>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9">
    <w:nsid w:val="534C56BB"/>
    <w:multiLevelType w:val="multilevel"/>
    <w:tmpl w:val="534C56BB"/>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pStyle w:val="106"/>
      <w:lvlText w:val="%10.%2.%3.%4.%5 "/>
      <w:lvlJc w:val="left"/>
      <w:pPr>
        <w:ind w:left="198" w:firstLine="0"/>
      </w:pPr>
      <w:rPr>
        <w:rFonts w:hint="eastAsia" w:ascii="黑体" w:hAnsi="黑体" w:eastAsia="黑体"/>
        <w:sz w:val="20"/>
      </w:r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20">
    <w:nsid w:val="561E7762"/>
    <w:multiLevelType w:val="multilevel"/>
    <w:tmpl w:val="561E7762"/>
    <w:lvl w:ilvl="0" w:tentative="0">
      <w:start w:val="1"/>
      <w:numFmt w:val="decimal"/>
      <w:pStyle w:val="211"/>
      <w:suff w:val="nothing"/>
      <w:lvlText w:val="表%1  "/>
      <w:lvlJc w:val="left"/>
      <w:pPr>
        <w:ind w:left="0" w:firstLine="0"/>
      </w:pPr>
      <w:rPr>
        <w:rFonts w:hint="eastAsia" w:ascii="黑体" w:hAnsi="黑体" w:eastAsia="黑体"/>
        <w:sz w:val="21"/>
        <w:vertAlign w:val="baseline"/>
        <w:lang w:val="en-US"/>
      </w:rPr>
    </w:lvl>
    <w:lvl w:ilvl="1" w:tentative="0">
      <w:start w:val="1"/>
      <w:numFmt w:val="decimalZero"/>
      <w:isLgl/>
      <w:lvlText w:val="节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lvlText w:val="%6)"/>
      <w:lvlJc w:val="left"/>
      <w:pPr>
        <w:ind w:left="1152" w:hanging="432"/>
      </w:pPr>
    </w:lvl>
    <w:lvl w:ilvl="6" w:tentative="0">
      <w:start w:val="1"/>
      <w:numFmt w:val="lowerRoman"/>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abstractNum w:abstractNumId="21">
    <w:nsid w:val="634E162A"/>
    <w:multiLevelType w:val="multilevel"/>
    <w:tmpl w:val="634E162A"/>
    <w:lvl w:ilvl="0" w:tentative="0">
      <w:start w:val="1"/>
      <w:numFmt w:val="upperLetter"/>
      <w:suff w:val="nothing"/>
      <w:lvlText w:val="附　录　%1"/>
      <w:lvlJc w:val="left"/>
      <w:pPr>
        <w:ind w:left="0" w:firstLine="0"/>
      </w:pPr>
      <w:rPr>
        <w:rFonts w:hint="eastAsia" w:ascii="黑体" w:hAnsi="Times New Roman" w:eastAsia="黑体" w:cs="黑体"/>
        <w:b w:val="0"/>
        <w:spacing w:val="0"/>
        <w:w w:val="100"/>
        <w:sz w:val="21"/>
      </w:rPr>
    </w:lvl>
    <w:lvl w:ilvl="1" w:tentative="0">
      <w:start w:val="1"/>
      <w:numFmt w:val="decimal"/>
      <w:suff w:val="nothing"/>
      <w:lvlText w:val="%1.%2　"/>
      <w:lvlJc w:val="left"/>
      <w:pPr>
        <w:ind w:left="0" w:firstLine="0"/>
      </w:pPr>
      <w:rPr>
        <w:rFonts w:hint="eastAsia" w:ascii="黑体" w:hAnsi="Times New Roman" w:eastAsia="黑体" w:cs="黑体"/>
        <w:b w:val="0"/>
        <w:spacing w:val="0"/>
        <w:w w:val="100"/>
        <w:kern w:val="21"/>
        <w:sz w:val="21"/>
      </w:rPr>
    </w:lvl>
    <w:lvl w:ilvl="2" w:tentative="0">
      <w:start w:val="1"/>
      <w:numFmt w:val="decimal"/>
      <w:pStyle w:val="261"/>
      <w:suff w:val="nothing"/>
      <w:lvlText w:val="%1.%2.%3　"/>
      <w:lvlJc w:val="left"/>
      <w:pPr>
        <w:ind w:left="0" w:firstLine="0"/>
      </w:pPr>
      <w:rPr>
        <w:rFonts w:hint="eastAsia" w:ascii="黑体" w:hAnsi="Times New Roman" w:eastAsia="黑体" w:cs="黑体"/>
        <w:b w:val="0"/>
        <w:sz w:val="21"/>
      </w:rPr>
    </w:lvl>
    <w:lvl w:ilvl="3" w:tentative="0">
      <w:start w:val="1"/>
      <w:numFmt w:val="decimal"/>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3FEF959"/>
    <w:multiLevelType w:val="multilevel"/>
    <w:tmpl w:val="63FEF959"/>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3">
    <w:nsid w:val="646260FA"/>
    <w:multiLevelType w:val="multilevel"/>
    <w:tmpl w:val="646260FA"/>
    <w:lvl w:ilvl="0" w:tentative="0">
      <w:start w:val="1"/>
      <w:numFmt w:val="decimal"/>
      <w:pStyle w:val="254"/>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6FE3EB3"/>
    <w:multiLevelType w:val="multilevel"/>
    <w:tmpl w:val="66FE3EB3"/>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5">
    <w:nsid w:val="6B1C5574"/>
    <w:multiLevelType w:val="multilevel"/>
    <w:tmpl w:val="6B1C5574"/>
    <w:lvl w:ilvl="0" w:tentative="0">
      <w:start w:val="1"/>
      <w:numFmt w:val="none"/>
      <w:pStyle w:val="86"/>
      <w:suff w:val="nothing"/>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6">
    <w:nsid w:val="6DBF04F4"/>
    <w:multiLevelType w:val="multilevel"/>
    <w:tmpl w:val="6DBF04F4"/>
    <w:lvl w:ilvl="0" w:tentative="0">
      <w:start w:val="1"/>
      <w:numFmt w:val="none"/>
      <w:pStyle w:val="265"/>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7">
    <w:nsid w:val="6FC930AC"/>
    <w:multiLevelType w:val="multilevel"/>
    <w:tmpl w:val="6FC930AC"/>
    <w:lvl w:ilvl="0" w:tentative="0">
      <w:start w:val="1"/>
      <w:numFmt w:val="decimal"/>
      <w:pStyle w:val="120"/>
      <w:suff w:val="nothing"/>
      <w:lvlText w:val="%1　"/>
      <w:lvlJc w:val="left"/>
      <w:pPr>
        <w:ind w:left="0" w:firstLine="0"/>
      </w:pPr>
      <w:rPr>
        <w:rFonts w:hint="eastAsia" w:ascii="黑体" w:hAnsi="黑体" w:eastAsia="黑体"/>
        <w:sz w:val="20"/>
      </w:rPr>
    </w:lvl>
    <w:lvl w:ilvl="1" w:tentative="0">
      <w:start w:val="1"/>
      <w:numFmt w:val="decimal"/>
      <w:pStyle w:val="122"/>
      <w:suff w:val="nothing"/>
      <w:lvlText w:val="%1.%2　"/>
      <w:lvlJc w:val="left"/>
      <w:pPr>
        <w:ind w:left="0" w:firstLine="0"/>
      </w:pPr>
      <w:rPr>
        <w:rFonts w:hint="eastAsia" w:ascii="黑体" w:hAnsi="黑体" w:eastAsia="黑体"/>
        <w:sz w:val="20"/>
      </w:rPr>
    </w:lvl>
    <w:lvl w:ilvl="2" w:tentative="0">
      <w:start w:val="1"/>
      <w:numFmt w:val="decimal"/>
      <w:pStyle w:val="124"/>
      <w:suff w:val="nothing"/>
      <w:lvlText w:val="%1.%2.%3　"/>
      <w:lvlJc w:val="left"/>
      <w:pPr>
        <w:ind w:left="0" w:firstLine="0"/>
      </w:pPr>
      <w:rPr>
        <w:rFonts w:hint="eastAsia" w:ascii="黑体" w:hAnsi="黑体" w:eastAsia="黑体"/>
        <w:sz w:val="20"/>
      </w:rPr>
    </w:lvl>
    <w:lvl w:ilvl="3" w:tentative="0">
      <w:start w:val="1"/>
      <w:numFmt w:val="decimal"/>
      <w:pStyle w:val="126"/>
      <w:suff w:val="nothing"/>
      <w:lvlText w:val="%1.%2.%3.%4　"/>
      <w:lvlJc w:val="left"/>
      <w:pPr>
        <w:ind w:left="0" w:firstLine="0"/>
      </w:pPr>
      <w:rPr>
        <w:rFonts w:hint="eastAsia" w:ascii="黑体" w:hAnsi="黑体" w:eastAsia="黑体"/>
        <w:sz w:val="20"/>
      </w:rPr>
    </w:lvl>
    <w:lvl w:ilvl="4" w:tentative="0">
      <w:start w:val="1"/>
      <w:numFmt w:val="decimal"/>
      <w:pStyle w:val="128"/>
      <w:suff w:val="nothing"/>
      <w:lvlText w:val="%1.%2.%3.%4.%5　"/>
      <w:lvlJc w:val="left"/>
      <w:pPr>
        <w:ind w:left="0" w:firstLine="0"/>
      </w:pPr>
      <w:rPr>
        <w:rFonts w:hint="eastAsia" w:ascii="黑体" w:hAnsi="黑体" w:eastAsia="黑体"/>
        <w:sz w:val="20"/>
      </w:rPr>
    </w:lvl>
    <w:lvl w:ilvl="5" w:tentative="0">
      <w:start w:val="1"/>
      <w:numFmt w:val="decimal"/>
      <w:pStyle w:val="130"/>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8">
    <w:nsid w:val="70CA3665"/>
    <w:multiLevelType w:val="multilevel"/>
    <w:tmpl w:val="70CA3665"/>
    <w:lvl w:ilvl="0" w:tentative="0">
      <w:start w:val="1"/>
      <w:numFmt w:val="none"/>
      <w:pStyle w:val="90"/>
      <w:lvlText w:val="%1——"/>
      <w:lvlJc w:val="left"/>
      <w:pPr>
        <w:tabs>
          <w:tab w:val="left" w:pos="851"/>
        </w:tabs>
        <w:ind w:left="851" w:hanging="426"/>
      </w:pPr>
      <w:rPr>
        <w:rFonts w:hint="eastAsia" w:ascii="Times New Roman" w:hAnsi="Times New Roman" w:cs="Times New Roman"/>
        <w:sz w:val="20"/>
      </w:rPr>
    </w:lvl>
    <w:lvl w:ilvl="1" w:tentative="0">
      <w:start w:val="1"/>
      <w:numFmt w:val="upperLetter"/>
      <w:lvlText w:val="%2."/>
      <w:lvlJc w:val="left"/>
      <w:pPr>
        <w:ind w:left="1276" w:hanging="426"/>
      </w:pPr>
      <w:rPr>
        <w:rFonts w:hint="eastAsia"/>
      </w:rPr>
    </w:lvl>
    <w:lvl w:ilvl="2" w:tentative="0">
      <w:start w:val="1"/>
      <w:numFmt w:val="decimal"/>
      <w:lvlText w:val="%3."/>
      <w:lvlJc w:val="left"/>
      <w:pPr>
        <w:ind w:left="1701" w:hanging="425"/>
      </w:pPr>
      <w:rPr>
        <w:rFonts w:hint="eastAsia"/>
      </w:rPr>
    </w:lvl>
    <w:lvl w:ilvl="3" w:tentative="0">
      <w:start w:val="1"/>
      <w:numFmt w:val="lowerLetter"/>
      <w:lvlText w:val="%4."/>
      <w:lvlJc w:val="left"/>
      <w:pPr>
        <w:ind w:left="1984" w:hanging="283"/>
      </w:pPr>
      <w:rPr>
        <w:rFonts w:hint="eastAsia"/>
      </w:rPr>
    </w:lvl>
    <w:lvl w:ilvl="4" w:tentative="0">
      <w:start w:val="1"/>
      <w:numFmt w:val="decimal"/>
      <w:lvlText w:val="%5."/>
      <w:lvlJc w:val="left"/>
      <w:pPr>
        <w:ind w:left="2409" w:hanging="425"/>
      </w:pPr>
      <w:rPr>
        <w:rFonts w:hint="eastAsia"/>
      </w:rPr>
    </w:lvl>
    <w:lvl w:ilvl="5" w:tentative="0">
      <w:start w:val="1"/>
      <w:numFmt w:val="lowerLetter"/>
      <w:lvlText w:val="%6."/>
      <w:lvlJc w:val="left"/>
      <w:pPr>
        <w:ind w:left="2834" w:hanging="425"/>
      </w:pPr>
      <w:rPr>
        <w:rFonts w:hint="eastAsia"/>
      </w:rPr>
    </w:lvl>
    <w:lvl w:ilvl="6" w:tentative="0">
      <w:start w:val="1"/>
      <w:numFmt w:val="lowerRoman"/>
      <w:lvlText w:val="%7."/>
      <w:lvlJc w:val="left"/>
      <w:pPr>
        <w:ind w:left="3260" w:hanging="426"/>
      </w:pPr>
      <w:rPr>
        <w:rFonts w:hint="eastAsia"/>
      </w:rPr>
    </w:lvl>
    <w:lvl w:ilvl="7" w:tentative="0">
      <w:start w:val="1"/>
      <w:numFmt w:val="lowerLetter"/>
      <w:lvlText w:val="%8."/>
      <w:lvlJc w:val="left"/>
      <w:pPr>
        <w:ind w:left="3685" w:hanging="425"/>
      </w:pPr>
      <w:rPr>
        <w:rFonts w:hint="eastAsia"/>
      </w:rPr>
    </w:lvl>
    <w:lvl w:ilvl="8" w:tentative="0">
      <w:start w:val="1"/>
      <w:numFmt w:val="lowerRoman"/>
      <w:lvlText w:val="%9."/>
      <w:lvlJc w:val="left"/>
      <w:pPr>
        <w:ind w:left="4110" w:hanging="425"/>
      </w:pPr>
      <w:rPr>
        <w:rFonts w:hint="eastAsia"/>
      </w:rPr>
    </w:lvl>
  </w:abstractNum>
  <w:abstractNum w:abstractNumId="29">
    <w:nsid w:val="7D6C781E"/>
    <w:multiLevelType w:val="multilevel"/>
    <w:tmpl w:val="7D6C781E"/>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pStyle w:val="104"/>
      <w:lvlText w:val="%10.%2.%3.%4 "/>
      <w:lvlJc w:val="left"/>
      <w:pPr>
        <w:ind w:left="198" w:firstLine="0"/>
      </w:pPr>
      <w:rPr>
        <w:rFonts w:hint="eastAsia" w:ascii="黑体" w:hAnsi="黑体" w:eastAsia="黑体"/>
        <w:sz w:val="20"/>
      </w:r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num w:numId="1">
    <w:abstractNumId w:val="15"/>
  </w:num>
  <w:num w:numId="2">
    <w:abstractNumId w:val="27"/>
    <w:lvlOverride w:ilvl="0">
      <w:lvl w:ilvl="0" w:tentative="1">
        <w:start w:val="1"/>
        <w:numFmt w:val="decimal"/>
        <w:suff w:val="nothing"/>
        <w:lvlText w:val="%1　"/>
        <w:lvlJc w:val="left"/>
        <w:pPr>
          <w:ind w:left="0" w:firstLine="0"/>
        </w:pPr>
        <w:rPr>
          <w:rFonts w:hint="eastAsia" w:ascii="黑体" w:hAnsi="黑体" w:eastAsia="黑体"/>
          <w:sz w:val="20"/>
        </w:rPr>
      </w:lvl>
    </w:lvlOverride>
    <w:lvlOverride w:ilvl="1">
      <w:lvl w:ilvl="1" w:tentative="1">
        <w:start w:val="1"/>
        <w:numFmt w:val="decimal"/>
        <w:suff w:val="nothing"/>
        <w:lvlText w:val="%1.%2　"/>
        <w:lvlJc w:val="left"/>
        <w:pPr>
          <w:ind w:left="0" w:firstLine="0"/>
        </w:pPr>
        <w:rPr>
          <w:rFonts w:hint="eastAsia" w:ascii="黑体" w:hAnsi="黑体" w:eastAsia="黑体"/>
          <w:sz w:val="20"/>
        </w:rPr>
      </w:lvl>
    </w:lvlOverride>
    <w:lvlOverride w:ilvl="2">
      <w:lvl w:ilvl="2" w:tentative="1">
        <w:start w:val="1"/>
        <w:numFmt w:val="decimal"/>
        <w:suff w:val="nothing"/>
        <w:lvlText w:val="%1.%2.%3　"/>
        <w:lvlJc w:val="left"/>
        <w:pPr>
          <w:ind w:left="0" w:firstLine="0"/>
        </w:pPr>
        <w:rPr>
          <w:rFonts w:hint="eastAsia" w:ascii="黑体" w:hAnsi="黑体" w:eastAsia="黑体"/>
          <w:sz w:val="20"/>
        </w:rPr>
      </w:lvl>
    </w:lvlOverride>
    <w:lvlOverride w:ilvl="3">
      <w:lvl w:ilvl="3" w:tentative="1">
        <w:start w:val="1"/>
        <w:numFmt w:val="decimal"/>
        <w:suff w:val="nothing"/>
        <w:lvlText w:val="%1.%2.%3.%4　"/>
        <w:lvlJc w:val="left"/>
        <w:pPr>
          <w:ind w:left="0" w:firstLine="0"/>
        </w:pPr>
        <w:rPr>
          <w:rFonts w:hint="eastAsia" w:ascii="黑体" w:hAnsi="黑体" w:eastAsia="黑体"/>
          <w:sz w:val="20"/>
        </w:rPr>
      </w:lvl>
    </w:lvlOverride>
    <w:lvlOverride w:ilvl="4">
      <w:lvl w:ilvl="4" w:tentative="1">
        <w:start w:val="1"/>
        <w:numFmt w:val="decimal"/>
        <w:suff w:val="nothing"/>
        <w:lvlText w:val="%1.%2.%3.%4.%5　"/>
        <w:lvlJc w:val="left"/>
        <w:pPr>
          <w:ind w:left="0" w:firstLine="0"/>
        </w:pPr>
        <w:rPr>
          <w:rFonts w:hint="eastAsia" w:ascii="黑体" w:hAnsi="黑体" w:eastAsia="黑体"/>
          <w:sz w:val="20"/>
        </w:rPr>
      </w:lvl>
    </w:lvlOverride>
    <w:lvlOverride w:ilvl="5">
      <w:lvl w:ilvl="5" w:tentative="1">
        <w:start w:val="1"/>
        <w:numFmt w:val="decimal"/>
        <w:suff w:val="nothing"/>
        <w:lvlText w:val="%1.%2.%3.%4.%5.%6　"/>
        <w:lvlJc w:val="left"/>
        <w:pPr>
          <w:ind w:left="0" w:firstLine="0"/>
        </w:pPr>
        <w:rPr>
          <w:rFonts w:hint="eastAsia" w:ascii="黑体" w:hAnsi="黑体" w:eastAsia="黑体"/>
          <w:sz w:val="20"/>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3">
    <w:abstractNumId w:val="25"/>
  </w:num>
  <w:num w:numId="4">
    <w:abstractNumId w:val="28"/>
  </w:num>
  <w:num w:numId="5">
    <w:abstractNumId w:val="16"/>
  </w:num>
  <w:num w:numId="6">
    <w:abstractNumId w:val="8"/>
  </w:num>
  <w:num w:numId="7">
    <w:abstractNumId w:val="13"/>
  </w:num>
  <w:num w:numId="8">
    <w:abstractNumId w:val="12"/>
  </w:num>
  <w:num w:numId="9">
    <w:abstractNumId w:val="14"/>
  </w:num>
  <w:num w:numId="10">
    <w:abstractNumId w:val="29"/>
  </w:num>
  <w:num w:numId="11">
    <w:abstractNumId w:val="19"/>
  </w:num>
  <w:num w:numId="12">
    <w:abstractNumId w:val="6"/>
  </w:num>
  <w:num w:numId="13">
    <w:abstractNumId w:val="27"/>
  </w:num>
  <w:num w:numId="14">
    <w:abstractNumId w:val="10"/>
  </w:num>
  <w:num w:numId="15">
    <w:abstractNumId w:val="11"/>
  </w:num>
  <w:num w:numId="16">
    <w:abstractNumId w:val="20"/>
  </w:num>
  <w:num w:numId="17">
    <w:abstractNumId w:val="3"/>
  </w:num>
  <w:num w:numId="18">
    <w:abstractNumId w:val="9"/>
  </w:num>
  <w:num w:numId="19">
    <w:abstractNumId w:val="17"/>
  </w:num>
  <w:num w:numId="20">
    <w:abstractNumId w:val="7"/>
  </w:num>
  <w:num w:numId="21">
    <w:abstractNumId w:val="23"/>
  </w:num>
  <w:num w:numId="22">
    <w:abstractNumId w:val="21"/>
  </w:num>
  <w:num w:numId="23">
    <w:abstractNumId w:val="5"/>
  </w:num>
  <w:num w:numId="24">
    <w:abstractNumId w:val="26"/>
  </w:num>
  <w:num w:numId="25">
    <w:abstractNumId w:val="4"/>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8"/>
  </w:num>
  <w:num w:numId="29">
    <w:abstractNumId w:val="0"/>
  </w:num>
  <w:num w:numId="30">
    <w:abstractNumId w:val="24"/>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0"/>
  <w:bordersDoNotSurroundFooter w:val="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3NzI0YjNlNjM1OWRmMTNmYzVhZDE1Nzk1MzVlOTEifQ=="/>
  </w:docVars>
  <w:rsids>
    <w:rsidRoot w:val="006C7F3E"/>
    <w:rsid w:val="00006AF7"/>
    <w:rsid w:val="00012490"/>
    <w:rsid w:val="00013365"/>
    <w:rsid w:val="00014558"/>
    <w:rsid w:val="000154EE"/>
    <w:rsid w:val="00015E06"/>
    <w:rsid w:val="0002237B"/>
    <w:rsid w:val="000226E3"/>
    <w:rsid w:val="00024BA6"/>
    <w:rsid w:val="00025BA2"/>
    <w:rsid w:val="0003190E"/>
    <w:rsid w:val="0003314B"/>
    <w:rsid w:val="00034287"/>
    <w:rsid w:val="0003678E"/>
    <w:rsid w:val="0003785D"/>
    <w:rsid w:val="000400DA"/>
    <w:rsid w:val="00040CD5"/>
    <w:rsid w:val="000425CD"/>
    <w:rsid w:val="000465A6"/>
    <w:rsid w:val="00046648"/>
    <w:rsid w:val="00046A6B"/>
    <w:rsid w:val="00046F1D"/>
    <w:rsid w:val="0005210A"/>
    <w:rsid w:val="000539C5"/>
    <w:rsid w:val="00053F7A"/>
    <w:rsid w:val="000549F9"/>
    <w:rsid w:val="00056FD4"/>
    <w:rsid w:val="00075D22"/>
    <w:rsid w:val="00076559"/>
    <w:rsid w:val="00077CC5"/>
    <w:rsid w:val="000807B7"/>
    <w:rsid w:val="000812AE"/>
    <w:rsid w:val="000829AD"/>
    <w:rsid w:val="0008558F"/>
    <w:rsid w:val="00091038"/>
    <w:rsid w:val="00095B73"/>
    <w:rsid w:val="000A6C62"/>
    <w:rsid w:val="000C1416"/>
    <w:rsid w:val="000C6FDF"/>
    <w:rsid w:val="000D1ABD"/>
    <w:rsid w:val="000D563C"/>
    <w:rsid w:val="000E03F4"/>
    <w:rsid w:val="000E3C6E"/>
    <w:rsid w:val="000F0433"/>
    <w:rsid w:val="000F741A"/>
    <w:rsid w:val="0010257B"/>
    <w:rsid w:val="00105BA2"/>
    <w:rsid w:val="001118F4"/>
    <w:rsid w:val="00112D63"/>
    <w:rsid w:val="00115732"/>
    <w:rsid w:val="00120AD2"/>
    <w:rsid w:val="00122A4B"/>
    <w:rsid w:val="00122A9B"/>
    <w:rsid w:val="00125D01"/>
    <w:rsid w:val="00127CBF"/>
    <w:rsid w:val="0013366C"/>
    <w:rsid w:val="00134BB5"/>
    <w:rsid w:val="001353B5"/>
    <w:rsid w:val="00135418"/>
    <w:rsid w:val="001427E8"/>
    <w:rsid w:val="00144458"/>
    <w:rsid w:val="00146C69"/>
    <w:rsid w:val="001633C6"/>
    <w:rsid w:val="001726D5"/>
    <w:rsid w:val="001730E9"/>
    <w:rsid w:val="0018343A"/>
    <w:rsid w:val="0018656D"/>
    <w:rsid w:val="00187BEE"/>
    <w:rsid w:val="00187C0E"/>
    <w:rsid w:val="001966B7"/>
    <w:rsid w:val="001A0E88"/>
    <w:rsid w:val="001A3E95"/>
    <w:rsid w:val="001A5604"/>
    <w:rsid w:val="001A6316"/>
    <w:rsid w:val="001B1818"/>
    <w:rsid w:val="001B435D"/>
    <w:rsid w:val="001B7FDD"/>
    <w:rsid w:val="001C2639"/>
    <w:rsid w:val="001C5C9B"/>
    <w:rsid w:val="001C7FEC"/>
    <w:rsid w:val="001D0D7E"/>
    <w:rsid w:val="001E6424"/>
    <w:rsid w:val="001E775B"/>
    <w:rsid w:val="001E7DCC"/>
    <w:rsid w:val="001F1221"/>
    <w:rsid w:val="001F28F3"/>
    <w:rsid w:val="001F6821"/>
    <w:rsid w:val="001F6C2E"/>
    <w:rsid w:val="001F748E"/>
    <w:rsid w:val="002034B4"/>
    <w:rsid w:val="00203F77"/>
    <w:rsid w:val="00206AFD"/>
    <w:rsid w:val="00217755"/>
    <w:rsid w:val="002212CF"/>
    <w:rsid w:val="0022356A"/>
    <w:rsid w:val="00224E7F"/>
    <w:rsid w:val="002278D9"/>
    <w:rsid w:val="00231B31"/>
    <w:rsid w:val="002325EC"/>
    <w:rsid w:val="00233A3F"/>
    <w:rsid w:val="00236861"/>
    <w:rsid w:val="0024638F"/>
    <w:rsid w:val="00246EBE"/>
    <w:rsid w:val="00250366"/>
    <w:rsid w:val="002512FC"/>
    <w:rsid w:val="00252072"/>
    <w:rsid w:val="00257A34"/>
    <w:rsid w:val="00261F1A"/>
    <w:rsid w:val="00263665"/>
    <w:rsid w:val="002643DC"/>
    <w:rsid w:val="00264DA4"/>
    <w:rsid w:val="00270B69"/>
    <w:rsid w:val="00275668"/>
    <w:rsid w:val="002758CC"/>
    <w:rsid w:val="00287673"/>
    <w:rsid w:val="00287FBC"/>
    <w:rsid w:val="002910A8"/>
    <w:rsid w:val="002912C8"/>
    <w:rsid w:val="00296E84"/>
    <w:rsid w:val="002A7716"/>
    <w:rsid w:val="002B07EC"/>
    <w:rsid w:val="002B1FB4"/>
    <w:rsid w:val="002B3576"/>
    <w:rsid w:val="002B3FC5"/>
    <w:rsid w:val="002C1968"/>
    <w:rsid w:val="002D1BFD"/>
    <w:rsid w:val="002D49DA"/>
    <w:rsid w:val="002F2D9C"/>
    <w:rsid w:val="00303432"/>
    <w:rsid w:val="003052AE"/>
    <w:rsid w:val="00312DA2"/>
    <w:rsid w:val="00313287"/>
    <w:rsid w:val="00315E18"/>
    <w:rsid w:val="00317DB4"/>
    <w:rsid w:val="003205D6"/>
    <w:rsid w:val="003225E0"/>
    <w:rsid w:val="003252D5"/>
    <w:rsid w:val="003264F7"/>
    <w:rsid w:val="00327278"/>
    <w:rsid w:val="00335357"/>
    <w:rsid w:val="003353A6"/>
    <w:rsid w:val="003356E8"/>
    <w:rsid w:val="00336CA0"/>
    <w:rsid w:val="00337897"/>
    <w:rsid w:val="00337AD4"/>
    <w:rsid w:val="00341CE9"/>
    <w:rsid w:val="0035147F"/>
    <w:rsid w:val="00351F69"/>
    <w:rsid w:val="0035793F"/>
    <w:rsid w:val="00357AEC"/>
    <w:rsid w:val="003605F7"/>
    <w:rsid w:val="003611B7"/>
    <w:rsid w:val="0036259C"/>
    <w:rsid w:val="00364DAA"/>
    <w:rsid w:val="0036576D"/>
    <w:rsid w:val="00373094"/>
    <w:rsid w:val="00375F09"/>
    <w:rsid w:val="00375F5D"/>
    <w:rsid w:val="0037677B"/>
    <w:rsid w:val="003812F3"/>
    <w:rsid w:val="00381407"/>
    <w:rsid w:val="00385B11"/>
    <w:rsid w:val="00394C9B"/>
    <w:rsid w:val="003A02F4"/>
    <w:rsid w:val="003A05E3"/>
    <w:rsid w:val="003A6A73"/>
    <w:rsid w:val="003B1D6E"/>
    <w:rsid w:val="003C1013"/>
    <w:rsid w:val="003C1576"/>
    <w:rsid w:val="003C4E42"/>
    <w:rsid w:val="003C5DE9"/>
    <w:rsid w:val="003C6DA3"/>
    <w:rsid w:val="003D0224"/>
    <w:rsid w:val="003D188D"/>
    <w:rsid w:val="003D2161"/>
    <w:rsid w:val="003D4C3E"/>
    <w:rsid w:val="003D737C"/>
    <w:rsid w:val="003E2A2A"/>
    <w:rsid w:val="003E317A"/>
    <w:rsid w:val="003E4E28"/>
    <w:rsid w:val="003E628E"/>
    <w:rsid w:val="003F26FF"/>
    <w:rsid w:val="003F6B1A"/>
    <w:rsid w:val="00400BC9"/>
    <w:rsid w:val="00401083"/>
    <w:rsid w:val="00407650"/>
    <w:rsid w:val="00416974"/>
    <w:rsid w:val="0042492E"/>
    <w:rsid w:val="00424E16"/>
    <w:rsid w:val="00430AA0"/>
    <w:rsid w:val="00433C41"/>
    <w:rsid w:val="00433F3F"/>
    <w:rsid w:val="00435206"/>
    <w:rsid w:val="00437324"/>
    <w:rsid w:val="004403CD"/>
    <w:rsid w:val="0044463B"/>
    <w:rsid w:val="00447118"/>
    <w:rsid w:val="00447D8D"/>
    <w:rsid w:val="00447E2B"/>
    <w:rsid w:val="0045024F"/>
    <w:rsid w:val="004503C7"/>
    <w:rsid w:val="00454664"/>
    <w:rsid w:val="004557B5"/>
    <w:rsid w:val="00455A0A"/>
    <w:rsid w:val="00461996"/>
    <w:rsid w:val="00461F8D"/>
    <w:rsid w:val="00475E1E"/>
    <w:rsid w:val="00476138"/>
    <w:rsid w:val="00482B50"/>
    <w:rsid w:val="0048307D"/>
    <w:rsid w:val="00490D7C"/>
    <w:rsid w:val="00492BD8"/>
    <w:rsid w:val="0049559A"/>
    <w:rsid w:val="00497915"/>
    <w:rsid w:val="004A4222"/>
    <w:rsid w:val="004A529F"/>
    <w:rsid w:val="004A67A4"/>
    <w:rsid w:val="004A70DF"/>
    <w:rsid w:val="004A7251"/>
    <w:rsid w:val="004B0E7F"/>
    <w:rsid w:val="004B1FBF"/>
    <w:rsid w:val="004B29E7"/>
    <w:rsid w:val="004B31E7"/>
    <w:rsid w:val="004B3703"/>
    <w:rsid w:val="004B6C02"/>
    <w:rsid w:val="004B71FE"/>
    <w:rsid w:val="004C4238"/>
    <w:rsid w:val="004C599C"/>
    <w:rsid w:val="004C73BB"/>
    <w:rsid w:val="004D36A0"/>
    <w:rsid w:val="004D792C"/>
    <w:rsid w:val="004E7078"/>
    <w:rsid w:val="004F0EF3"/>
    <w:rsid w:val="004F1DE2"/>
    <w:rsid w:val="004F2042"/>
    <w:rsid w:val="004F526E"/>
    <w:rsid w:val="00507778"/>
    <w:rsid w:val="00513A2C"/>
    <w:rsid w:val="00513EC8"/>
    <w:rsid w:val="00514325"/>
    <w:rsid w:val="005224F7"/>
    <w:rsid w:val="00524F7F"/>
    <w:rsid w:val="005278B3"/>
    <w:rsid w:val="00531A03"/>
    <w:rsid w:val="00543A3F"/>
    <w:rsid w:val="00544D05"/>
    <w:rsid w:val="005452C4"/>
    <w:rsid w:val="00546B9A"/>
    <w:rsid w:val="00552B4E"/>
    <w:rsid w:val="00564BF8"/>
    <w:rsid w:val="005711B5"/>
    <w:rsid w:val="00573C6B"/>
    <w:rsid w:val="0057762A"/>
    <w:rsid w:val="00586E45"/>
    <w:rsid w:val="00590AB7"/>
    <w:rsid w:val="00593FF8"/>
    <w:rsid w:val="00596F50"/>
    <w:rsid w:val="005A2595"/>
    <w:rsid w:val="005A36C1"/>
    <w:rsid w:val="005A5B18"/>
    <w:rsid w:val="005B01E5"/>
    <w:rsid w:val="005B020B"/>
    <w:rsid w:val="005B2DAB"/>
    <w:rsid w:val="005B71AB"/>
    <w:rsid w:val="005C06EB"/>
    <w:rsid w:val="005C3D8E"/>
    <w:rsid w:val="005C44F7"/>
    <w:rsid w:val="005C6784"/>
    <w:rsid w:val="005D1762"/>
    <w:rsid w:val="005D1B4A"/>
    <w:rsid w:val="005D285E"/>
    <w:rsid w:val="005D447A"/>
    <w:rsid w:val="005D5700"/>
    <w:rsid w:val="005E1A13"/>
    <w:rsid w:val="005E1B60"/>
    <w:rsid w:val="005E62DC"/>
    <w:rsid w:val="005F5B58"/>
    <w:rsid w:val="005F608D"/>
    <w:rsid w:val="006122F0"/>
    <w:rsid w:val="006128C6"/>
    <w:rsid w:val="00612981"/>
    <w:rsid w:val="00617977"/>
    <w:rsid w:val="00624DBB"/>
    <w:rsid w:val="006257B3"/>
    <w:rsid w:val="00644263"/>
    <w:rsid w:val="00646B8E"/>
    <w:rsid w:val="00647F7A"/>
    <w:rsid w:val="0065264E"/>
    <w:rsid w:val="00653055"/>
    <w:rsid w:val="006537D6"/>
    <w:rsid w:val="00654888"/>
    <w:rsid w:val="00656191"/>
    <w:rsid w:val="0066073A"/>
    <w:rsid w:val="00660E3E"/>
    <w:rsid w:val="00670BAE"/>
    <w:rsid w:val="0067576F"/>
    <w:rsid w:val="006757B6"/>
    <w:rsid w:val="006767A6"/>
    <w:rsid w:val="006858CA"/>
    <w:rsid w:val="00690C6F"/>
    <w:rsid w:val="00690F70"/>
    <w:rsid w:val="00694FB4"/>
    <w:rsid w:val="006951B4"/>
    <w:rsid w:val="006A05ED"/>
    <w:rsid w:val="006A1C17"/>
    <w:rsid w:val="006A22C7"/>
    <w:rsid w:val="006A26C4"/>
    <w:rsid w:val="006B4E48"/>
    <w:rsid w:val="006C107C"/>
    <w:rsid w:val="006C5919"/>
    <w:rsid w:val="006C61D1"/>
    <w:rsid w:val="006C7F3E"/>
    <w:rsid w:val="006D1196"/>
    <w:rsid w:val="006D2E8A"/>
    <w:rsid w:val="006D56FF"/>
    <w:rsid w:val="006D6A12"/>
    <w:rsid w:val="006E12EA"/>
    <w:rsid w:val="006E407F"/>
    <w:rsid w:val="006F4DC0"/>
    <w:rsid w:val="006F6B4F"/>
    <w:rsid w:val="0070154D"/>
    <w:rsid w:val="00704DE1"/>
    <w:rsid w:val="00704E12"/>
    <w:rsid w:val="007054E5"/>
    <w:rsid w:val="00710F38"/>
    <w:rsid w:val="00714F2F"/>
    <w:rsid w:val="007201A5"/>
    <w:rsid w:val="007225D5"/>
    <w:rsid w:val="00722C17"/>
    <w:rsid w:val="00723BBA"/>
    <w:rsid w:val="007255FA"/>
    <w:rsid w:val="00726BBE"/>
    <w:rsid w:val="00730757"/>
    <w:rsid w:val="00730B35"/>
    <w:rsid w:val="00733A72"/>
    <w:rsid w:val="00734BEA"/>
    <w:rsid w:val="00742E11"/>
    <w:rsid w:val="007572ED"/>
    <w:rsid w:val="00760B15"/>
    <w:rsid w:val="007631FD"/>
    <w:rsid w:val="00763EDB"/>
    <w:rsid w:val="00765304"/>
    <w:rsid w:val="0076693A"/>
    <w:rsid w:val="00766D5E"/>
    <w:rsid w:val="00773776"/>
    <w:rsid w:val="00774771"/>
    <w:rsid w:val="00780025"/>
    <w:rsid w:val="00781C50"/>
    <w:rsid w:val="00785A1E"/>
    <w:rsid w:val="0079273C"/>
    <w:rsid w:val="00792ADE"/>
    <w:rsid w:val="00797451"/>
    <w:rsid w:val="007A04B5"/>
    <w:rsid w:val="007A1805"/>
    <w:rsid w:val="007A1F7C"/>
    <w:rsid w:val="007A4018"/>
    <w:rsid w:val="007B0B53"/>
    <w:rsid w:val="007B7487"/>
    <w:rsid w:val="007C10C1"/>
    <w:rsid w:val="007C10F2"/>
    <w:rsid w:val="007C7901"/>
    <w:rsid w:val="007D1BF2"/>
    <w:rsid w:val="007D1F29"/>
    <w:rsid w:val="007D2F75"/>
    <w:rsid w:val="007D39FC"/>
    <w:rsid w:val="007D6DF6"/>
    <w:rsid w:val="007D76EC"/>
    <w:rsid w:val="007E3D16"/>
    <w:rsid w:val="007F2263"/>
    <w:rsid w:val="007F237D"/>
    <w:rsid w:val="007F3E25"/>
    <w:rsid w:val="007F41E4"/>
    <w:rsid w:val="007F50D6"/>
    <w:rsid w:val="007F6CFF"/>
    <w:rsid w:val="007F7EB1"/>
    <w:rsid w:val="0080260F"/>
    <w:rsid w:val="0080554D"/>
    <w:rsid w:val="00812D01"/>
    <w:rsid w:val="0082183C"/>
    <w:rsid w:val="00827120"/>
    <w:rsid w:val="0085152C"/>
    <w:rsid w:val="00861ED6"/>
    <w:rsid w:val="00867176"/>
    <w:rsid w:val="0086794C"/>
    <w:rsid w:val="00873C66"/>
    <w:rsid w:val="00876408"/>
    <w:rsid w:val="00886CE1"/>
    <w:rsid w:val="00890D0C"/>
    <w:rsid w:val="00891E5C"/>
    <w:rsid w:val="008966BA"/>
    <w:rsid w:val="008A0829"/>
    <w:rsid w:val="008A1274"/>
    <w:rsid w:val="008A447E"/>
    <w:rsid w:val="008A466F"/>
    <w:rsid w:val="008A5792"/>
    <w:rsid w:val="008B7300"/>
    <w:rsid w:val="008C07A3"/>
    <w:rsid w:val="008D4D82"/>
    <w:rsid w:val="008E55CF"/>
    <w:rsid w:val="008F519C"/>
    <w:rsid w:val="008F622E"/>
    <w:rsid w:val="009043B5"/>
    <w:rsid w:val="00904E8A"/>
    <w:rsid w:val="00911D84"/>
    <w:rsid w:val="00913B29"/>
    <w:rsid w:val="009154E9"/>
    <w:rsid w:val="009225C1"/>
    <w:rsid w:val="009232BD"/>
    <w:rsid w:val="00934FFB"/>
    <w:rsid w:val="00935136"/>
    <w:rsid w:val="009358C0"/>
    <w:rsid w:val="0093704D"/>
    <w:rsid w:val="0094562C"/>
    <w:rsid w:val="0095048A"/>
    <w:rsid w:val="00950EB2"/>
    <w:rsid w:val="00953A9E"/>
    <w:rsid w:val="009551D8"/>
    <w:rsid w:val="00964AE0"/>
    <w:rsid w:val="009651A4"/>
    <w:rsid w:val="00965BA4"/>
    <w:rsid w:val="0096689E"/>
    <w:rsid w:val="00973173"/>
    <w:rsid w:val="009771C9"/>
    <w:rsid w:val="00982F7A"/>
    <w:rsid w:val="009911D2"/>
    <w:rsid w:val="0099475D"/>
    <w:rsid w:val="0099662B"/>
    <w:rsid w:val="00996C38"/>
    <w:rsid w:val="009A264B"/>
    <w:rsid w:val="009A469E"/>
    <w:rsid w:val="009A514C"/>
    <w:rsid w:val="009A6D5D"/>
    <w:rsid w:val="009A7E09"/>
    <w:rsid w:val="009B1225"/>
    <w:rsid w:val="009B2EB4"/>
    <w:rsid w:val="009B489E"/>
    <w:rsid w:val="009B6C37"/>
    <w:rsid w:val="009C020E"/>
    <w:rsid w:val="009C51D5"/>
    <w:rsid w:val="009C686B"/>
    <w:rsid w:val="009C6AA2"/>
    <w:rsid w:val="009C7113"/>
    <w:rsid w:val="009E10BD"/>
    <w:rsid w:val="009E11E6"/>
    <w:rsid w:val="009E1636"/>
    <w:rsid w:val="009E19F9"/>
    <w:rsid w:val="009E4483"/>
    <w:rsid w:val="009E53D5"/>
    <w:rsid w:val="009F00B3"/>
    <w:rsid w:val="009F05B7"/>
    <w:rsid w:val="009F5D00"/>
    <w:rsid w:val="00A01EB0"/>
    <w:rsid w:val="00A04AFF"/>
    <w:rsid w:val="00A06752"/>
    <w:rsid w:val="00A170EA"/>
    <w:rsid w:val="00A20136"/>
    <w:rsid w:val="00A22358"/>
    <w:rsid w:val="00A30CF4"/>
    <w:rsid w:val="00A35218"/>
    <w:rsid w:val="00A41CE2"/>
    <w:rsid w:val="00A420E4"/>
    <w:rsid w:val="00A433C7"/>
    <w:rsid w:val="00A44977"/>
    <w:rsid w:val="00A50963"/>
    <w:rsid w:val="00A532EF"/>
    <w:rsid w:val="00A54D24"/>
    <w:rsid w:val="00A6165C"/>
    <w:rsid w:val="00A6464E"/>
    <w:rsid w:val="00A67026"/>
    <w:rsid w:val="00A675F8"/>
    <w:rsid w:val="00A71915"/>
    <w:rsid w:val="00A76931"/>
    <w:rsid w:val="00A76B1F"/>
    <w:rsid w:val="00A77C47"/>
    <w:rsid w:val="00A96023"/>
    <w:rsid w:val="00AA04BC"/>
    <w:rsid w:val="00AA1F82"/>
    <w:rsid w:val="00AA6CD1"/>
    <w:rsid w:val="00AB4626"/>
    <w:rsid w:val="00AC315E"/>
    <w:rsid w:val="00AC368A"/>
    <w:rsid w:val="00AC3786"/>
    <w:rsid w:val="00AC4EC7"/>
    <w:rsid w:val="00AD611B"/>
    <w:rsid w:val="00AD71F4"/>
    <w:rsid w:val="00AE0DEC"/>
    <w:rsid w:val="00AE1A4A"/>
    <w:rsid w:val="00AE1E50"/>
    <w:rsid w:val="00AE24DD"/>
    <w:rsid w:val="00AE5E63"/>
    <w:rsid w:val="00B01DA7"/>
    <w:rsid w:val="00B0362B"/>
    <w:rsid w:val="00B04B8C"/>
    <w:rsid w:val="00B05349"/>
    <w:rsid w:val="00B054EB"/>
    <w:rsid w:val="00B10112"/>
    <w:rsid w:val="00B114F9"/>
    <w:rsid w:val="00B153CF"/>
    <w:rsid w:val="00B24490"/>
    <w:rsid w:val="00B2467D"/>
    <w:rsid w:val="00B270ED"/>
    <w:rsid w:val="00B274C0"/>
    <w:rsid w:val="00B30CDD"/>
    <w:rsid w:val="00B319E8"/>
    <w:rsid w:val="00B35DA9"/>
    <w:rsid w:val="00B36383"/>
    <w:rsid w:val="00B370C0"/>
    <w:rsid w:val="00B4113F"/>
    <w:rsid w:val="00B416C4"/>
    <w:rsid w:val="00B43A12"/>
    <w:rsid w:val="00B4493E"/>
    <w:rsid w:val="00B45C24"/>
    <w:rsid w:val="00B56DCE"/>
    <w:rsid w:val="00B57E8C"/>
    <w:rsid w:val="00B61021"/>
    <w:rsid w:val="00B61DF3"/>
    <w:rsid w:val="00B639AA"/>
    <w:rsid w:val="00B665F9"/>
    <w:rsid w:val="00B706C6"/>
    <w:rsid w:val="00B902E1"/>
    <w:rsid w:val="00B93C6E"/>
    <w:rsid w:val="00B95E29"/>
    <w:rsid w:val="00BA3235"/>
    <w:rsid w:val="00BA6A36"/>
    <w:rsid w:val="00BB1EA5"/>
    <w:rsid w:val="00BB77E8"/>
    <w:rsid w:val="00BC2D76"/>
    <w:rsid w:val="00BC3166"/>
    <w:rsid w:val="00BC3FF1"/>
    <w:rsid w:val="00BD24DC"/>
    <w:rsid w:val="00BD40A2"/>
    <w:rsid w:val="00BE5A35"/>
    <w:rsid w:val="00BE6933"/>
    <w:rsid w:val="00BE7C02"/>
    <w:rsid w:val="00BE7D96"/>
    <w:rsid w:val="00BF0368"/>
    <w:rsid w:val="00BF13BC"/>
    <w:rsid w:val="00BF2764"/>
    <w:rsid w:val="00BF57D7"/>
    <w:rsid w:val="00BF7BC9"/>
    <w:rsid w:val="00C108A1"/>
    <w:rsid w:val="00C12F30"/>
    <w:rsid w:val="00C2761A"/>
    <w:rsid w:val="00C27D45"/>
    <w:rsid w:val="00C31399"/>
    <w:rsid w:val="00C31A5F"/>
    <w:rsid w:val="00C31A9E"/>
    <w:rsid w:val="00C3491A"/>
    <w:rsid w:val="00C36DF6"/>
    <w:rsid w:val="00C467AA"/>
    <w:rsid w:val="00C60219"/>
    <w:rsid w:val="00C63AAA"/>
    <w:rsid w:val="00C65C67"/>
    <w:rsid w:val="00C6610F"/>
    <w:rsid w:val="00C679F1"/>
    <w:rsid w:val="00C72D1F"/>
    <w:rsid w:val="00C73B37"/>
    <w:rsid w:val="00C74CB2"/>
    <w:rsid w:val="00C767B1"/>
    <w:rsid w:val="00C80605"/>
    <w:rsid w:val="00C829C3"/>
    <w:rsid w:val="00C87FC0"/>
    <w:rsid w:val="00C90208"/>
    <w:rsid w:val="00C967C4"/>
    <w:rsid w:val="00CA15DF"/>
    <w:rsid w:val="00CA2023"/>
    <w:rsid w:val="00CA2E28"/>
    <w:rsid w:val="00CA362D"/>
    <w:rsid w:val="00CB0FE3"/>
    <w:rsid w:val="00CB57EF"/>
    <w:rsid w:val="00CB5FCA"/>
    <w:rsid w:val="00CB6808"/>
    <w:rsid w:val="00CC6326"/>
    <w:rsid w:val="00CD04EF"/>
    <w:rsid w:val="00CD1407"/>
    <w:rsid w:val="00CD1819"/>
    <w:rsid w:val="00CD20A5"/>
    <w:rsid w:val="00CD2154"/>
    <w:rsid w:val="00CD599F"/>
    <w:rsid w:val="00CD67D7"/>
    <w:rsid w:val="00CE2B3E"/>
    <w:rsid w:val="00CE30B2"/>
    <w:rsid w:val="00D007D1"/>
    <w:rsid w:val="00D01B1C"/>
    <w:rsid w:val="00D03DAF"/>
    <w:rsid w:val="00D06C38"/>
    <w:rsid w:val="00D10C65"/>
    <w:rsid w:val="00D11115"/>
    <w:rsid w:val="00D12882"/>
    <w:rsid w:val="00D165F1"/>
    <w:rsid w:val="00D32067"/>
    <w:rsid w:val="00D37A4D"/>
    <w:rsid w:val="00D436D8"/>
    <w:rsid w:val="00D54BAC"/>
    <w:rsid w:val="00D67A5C"/>
    <w:rsid w:val="00D67F38"/>
    <w:rsid w:val="00D71D66"/>
    <w:rsid w:val="00D756FA"/>
    <w:rsid w:val="00D7712E"/>
    <w:rsid w:val="00D77A12"/>
    <w:rsid w:val="00D77BC3"/>
    <w:rsid w:val="00D84258"/>
    <w:rsid w:val="00D8713B"/>
    <w:rsid w:val="00D942AC"/>
    <w:rsid w:val="00D97D83"/>
    <w:rsid w:val="00DA0BD8"/>
    <w:rsid w:val="00DA23B8"/>
    <w:rsid w:val="00DA26E3"/>
    <w:rsid w:val="00DA42F2"/>
    <w:rsid w:val="00DC07A0"/>
    <w:rsid w:val="00DC2315"/>
    <w:rsid w:val="00DC2BA3"/>
    <w:rsid w:val="00DC2CC1"/>
    <w:rsid w:val="00DC5806"/>
    <w:rsid w:val="00DC5C9C"/>
    <w:rsid w:val="00DC5E8B"/>
    <w:rsid w:val="00DC696B"/>
    <w:rsid w:val="00DC69B1"/>
    <w:rsid w:val="00DC7C84"/>
    <w:rsid w:val="00DD00A7"/>
    <w:rsid w:val="00DD2EDC"/>
    <w:rsid w:val="00DE06C1"/>
    <w:rsid w:val="00DE26FA"/>
    <w:rsid w:val="00DE4BCA"/>
    <w:rsid w:val="00DF0874"/>
    <w:rsid w:val="00DF1D9B"/>
    <w:rsid w:val="00DF682B"/>
    <w:rsid w:val="00DF78BA"/>
    <w:rsid w:val="00E002AA"/>
    <w:rsid w:val="00E02EB6"/>
    <w:rsid w:val="00E03701"/>
    <w:rsid w:val="00E06FC6"/>
    <w:rsid w:val="00E133B1"/>
    <w:rsid w:val="00E14C92"/>
    <w:rsid w:val="00E160AA"/>
    <w:rsid w:val="00E176D4"/>
    <w:rsid w:val="00E20AA4"/>
    <w:rsid w:val="00E25A14"/>
    <w:rsid w:val="00E30006"/>
    <w:rsid w:val="00E31192"/>
    <w:rsid w:val="00E32714"/>
    <w:rsid w:val="00E33D12"/>
    <w:rsid w:val="00E35FAB"/>
    <w:rsid w:val="00E4028D"/>
    <w:rsid w:val="00E42E35"/>
    <w:rsid w:val="00E4712E"/>
    <w:rsid w:val="00E50940"/>
    <w:rsid w:val="00E62608"/>
    <w:rsid w:val="00E716D7"/>
    <w:rsid w:val="00E71BA0"/>
    <w:rsid w:val="00E77EC8"/>
    <w:rsid w:val="00E80444"/>
    <w:rsid w:val="00E81990"/>
    <w:rsid w:val="00E829D4"/>
    <w:rsid w:val="00E86493"/>
    <w:rsid w:val="00E90712"/>
    <w:rsid w:val="00E93E1E"/>
    <w:rsid w:val="00E95994"/>
    <w:rsid w:val="00E97738"/>
    <w:rsid w:val="00EA42AF"/>
    <w:rsid w:val="00EA4B89"/>
    <w:rsid w:val="00EA7ABA"/>
    <w:rsid w:val="00EA7BAF"/>
    <w:rsid w:val="00EB08CF"/>
    <w:rsid w:val="00EC0823"/>
    <w:rsid w:val="00EC09C5"/>
    <w:rsid w:val="00EC4D81"/>
    <w:rsid w:val="00EC569C"/>
    <w:rsid w:val="00EC739F"/>
    <w:rsid w:val="00ED3015"/>
    <w:rsid w:val="00ED4036"/>
    <w:rsid w:val="00ED4334"/>
    <w:rsid w:val="00ED4879"/>
    <w:rsid w:val="00ED4F18"/>
    <w:rsid w:val="00EE19AD"/>
    <w:rsid w:val="00EE3247"/>
    <w:rsid w:val="00EE526F"/>
    <w:rsid w:val="00EE5ACB"/>
    <w:rsid w:val="00EE6B53"/>
    <w:rsid w:val="00EF0E62"/>
    <w:rsid w:val="00EF3A5E"/>
    <w:rsid w:val="00EF4517"/>
    <w:rsid w:val="00EF4CE6"/>
    <w:rsid w:val="00EF56C2"/>
    <w:rsid w:val="00F015E6"/>
    <w:rsid w:val="00F04FA8"/>
    <w:rsid w:val="00F11247"/>
    <w:rsid w:val="00F14ECE"/>
    <w:rsid w:val="00F21DA0"/>
    <w:rsid w:val="00F22BA9"/>
    <w:rsid w:val="00F235B0"/>
    <w:rsid w:val="00F265F0"/>
    <w:rsid w:val="00F26A7A"/>
    <w:rsid w:val="00F3407A"/>
    <w:rsid w:val="00F35B6B"/>
    <w:rsid w:val="00F45529"/>
    <w:rsid w:val="00F465DC"/>
    <w:rsid w:val="00F46E35"/>
    <w:rsid w:val="00F5006E"/>
    <w:rsid w:val="00F573AF"/>
    <w:rsid w:val="00F574E8"/>
    <w:rsid w:val="00F63B28"/>
    <w:rsid w:val="00F677AA"/>
    <w:rsid w:val="00F71BC7"/>
    <w:rsid w:val="00F8062F"/>
    <w:rsid w:val="00F80C34"/>
    <w:rsid w:val="00F929C2"/>
    <w:rsid w:val="00F95E08"/>
    <w:rsid w:val="00F96051"/>
    <w:rsid w:val="00FA5F7D"/>
    <w:rsid w:val="00FB1366"/>
    <w:rsid w:val="00FC4C44"/>
    <w:rsid w:val="00FC79D7"/>
    <w:rsid w:val="00FD19C6"/>
    <w:rsid w:val="00FD3B58"/>
    <w:rsid w:val="00FE07D1"/>
    <w:rsid w:val="00FE35DF"/>
    <w:rsid w:val="00FE4549"/>
    <w:rsid w:val="00FE6DC9"/>
    <w:rsid w:val="00FE76C9"/>
    <w:rsid w:val="014C46AF"/>
    <w:rsid w:val="01C6081D"/>
    <w:rsid w:val="024737CA"/>
    <w:rsid w:val="027C350B"/>
    <w:rsid w:val="0396211E"/>
    <w:rsid w:val="048356C2"/>
    <w:rsid w:val="06C61515"/>
    <w:rsid w:val="07406A2D"/>
    <w:rsid w:val="07694EB1"/>
    <w:rsid w:val="07833FB5"/>
    <w:rsid w:val="08335DA8"/>
    <w:rsid w:val="08511B03"/>
    <w:rsid w:val="08950021"/>
    <w:rsid w:val="0A4A0F15"/>
    <w:rsid w:val="0A6908FC"/>
    <w:rsid w:val="0C3D6E4B"/>
    <w:rsid w:val="0CA14260"/>
    <w:rsid w:val="0D834092"/>
    <w:rsid w:val="0E372F95"/>
    <w:rsid w:val="0EF64ECE"/>
    <w:rsid w:val="0F2D6FB2"/>
    <w:rsid w:val="10393859"/>
    <w:rsid w:val="111F03D8"/>
    <w:rsid w:val="11515ABE"/>
    <w:rsid w:val="119176F5"/>
    <w:rsid w:val="12E0534B"/>
    <w:rsid w:val="130F2B6D"/>
    <w:rsid w:val="138C6F66"/>
    <w:rsid w:val="143570C3"/>
    <w:rsid w:val="1495643B"/>
    <w:rsid w:val="14F12CFE"/>
    <w:rsid w:val="15D20959"/>
    <w:rsid w:val="184941FD"/>
    <w:rsid w:val="1905081B"/>
    <w:rsid w:val="191540EA"/>
    <w:rsid w:val="194B5BBA"/>
    <w:rsid w:val="1965348B"/>
    <w:rsid w:val="19CC1262"/>
    <w:rsid w:val="19F5368E"/>
    <w:rsid w:val="1A8547E2"/>
    <w:rsid w:val="1B4979F5"/>
    <w:rsid w:val="1D8364EB"/>
    <w:rsid w:val="1D8E2655"/>
    <w:rsid w:val="1DF82365"/>
    <w:rsid w:val="1E321773"/>
    <w:rsid w:val="1E8D37C0"/>
    <w:rsid w:val="1EDF5BAD"/>
    <w:rsid w:val="1F5F2A1E"/>
    <w:rsid w:val="1F873F05"/>
    <w:rsid w:val="1FF55027"/>
    <w:rsid w:val="20CB5E72"/>
    <w:rsid w:val="21BB336B"/>
    <w:rsid w:val="22EB6C48"/>
    <w:rsid w:val="235627B3"/>
    <w:rsid w:val="28047B64"/>
    <w:rsid w:val="285D6BEB"/>
    <w:rsid w:val="287603A7"/>
    <w:rsid w:val="29361BA7"/>
    <w:rsid w:val="2A736D9D"/>
    <w:rsid w:val="2A812531"/>
    <w:rsid w:val="2B05199B"/>
    <w:rsid w:val="2BD40EB0"/>
    <w:rsid w:val="2C6F4AA7"/>
    <w:rsid w:val="2CAD48F3"/>
    <w:rsid w:val="2D5D3182"/>
    <w:rsid w:val="2D75515D"/>
    <w:rsid w:val="2F3276C7"/>
    <w:rsid w:val="2F4944D0"/>
    <w:rsid w:val="2FD93842"/>
    <w:rsid w:val="3029612C"/>
    <w:rsid w:val="306B6BAB"/>
    <w:rsid w:val="310521E6"/>
    <w:rsid w:val="32413A7B"/>
    <w:rsid w:val="33A53EC8"/>
    <w:rsid w:val="34151D8E"/>
    <w:rsid w:val="34341EBC"/>
    <w:rsid w:val="34C80BDF"/>
    <w:rsid w:val="34FE1DE5"/>
    <w:rsid w:val="355A0B2E"/>
    <w:rsid w:val="3597659B"/>
    <w:rsid w:val="36E55085"/>
    <w:rsid w:val="37D8510B"/>
    <w:rsid w:val="39535398"/>
    <w:rsid w:val="3A601CA4"/>
    <w:rsid w:val="3B627439"/>
    <w:rsid w:val="3B950F14"/>
    <w:rsid w:val="3C831334"/>
    <w:rsid w:val="3DDC0DFA"/>
    <w:rsid w:val="3E3B2A0B"/>
    <w:rsid w:val="3ED44023"/>
    <w:rsid w:val="3F457B27"/>
    <w:rsid w:val="3F6A0E12"/>
    <w:rsid w:val="3F791B67"/>
    <w:rsid w:val="3FFA1EC7"/>
    <w:rsid w:val="408978EB"/>
    <w:rsid w:val="4159693A"/>
    <w:rsid w:val="42304770"/>
    <w:rsid w:val="442C0FEE"/>
    <w:rsid w:val="451A5EF2"/>
    <w:rsid w:val="456002B3"/>
    <w:rsid w:val="45D61170"/>
    <w:rsid w:val="46367DFD"/>
    <w:rsid w:val="47480D31"/>
    <w:rsid w:val="474C413B"/>
    <w:rsid w:val="48B9451E"/>
    <w:rsid w:val="493C4A74"/>
    <w:rsid w:val="49695AF7"/>
    <w:rsid w:val="49A46A9C"/>
    <w:rsid w:val="4A8074CE"/>
    <w:rsid w:val="4B2C60DC"/>
    <w:rsid w:val="4C2573E8"/>
    <w:rsid w:val="4DC0603F"/>
    <w:rsid w:val="4DF07E6B"/>
    <w:rsid w:val="4EC10820"/>
    <w:rsid w:val="4ED2306F"/>
    <w:rsid w:val="4F710AFD"/>
    <w:rsid w:val="4F8C23D9"/>
    <w:rsid w:val="55256E16"/>
    <w:rsid w:val="55511624"/>
    <w:rsid w:val="560F62BF"/>
    <w:rsid w:val="568A134B"/>
    <w:rsid w:val="56B85264"/>
    <w:rsid w:val="56CF04A7"/>
    <w:rsid w:val="57BE3CD2"/>
    <w:rsid w:val="588C3742"/>
    <w:rsid w:val="59334136"/>
    <w:rsid w:val="59C344E4"/>
    <w:rsid w:val="59E253A8"/>
    <w:rsid w:val="5AD05E8B"/>
    <w:rsid w:val="5B7820C2"/>
    <w:rsid w:val="5B822F01"/>
    <w:rsid w:val="5BC92ECB"/>
    <w:rsid w:val="5C1D7806"/>
    <w:rsid w:val="5C6C6FFD"/>
    <w:rsid w:val="5CD3076E"/>
    <w:rsid w:val="5F017C94"/>
    <w:rsid w:val="615B12C7"/>
    <w:rsid w:val="62260C3A"/>
    <w:rsid w:val="628F5A13"/>
    <w:rsid w:val="644A15B5"/>
    <w:rsid w:val="64A81D34"/>
    <w:rsid w:val="65474FAC"/>
    <w:rsid w:val="65492922"/>
    <w:rsid w:val="65D808CC"/>
    <w:rsid w:val="67823FFE"/>
    <w:rsid w:val="68093D3F"/>
    <w:rsid w:val="6910451E"/>
    <w:rsid w:val="69134930"/>
    <w:rsid w:val="6991553D"/>
    <w:rsid w:val="69A92AFE"/>
    <w:rsid w:val="69E94AF8"/>
    <w:rsid w:val="6A5F3B13"/>
    <w:rsid w:val="6AF9048F"/>
    <w:rsid w:val="6B9B51BF"/>
    <w:rsid w:val="6CCD68EA"/>
    <w:rsid w:val="6D74345B"/>
    <w:rsid w:val="6EFC61DE"/>
    <w:rsid w:val="6F130D6B"/>
    <w:rsid w:val="6FDB6DB6"/>
    <w:rsid w:val="70A5012A"/>
    <w:rsid w:val="71241F08"/>
    <w:rsid w:val="71E749BC"/>
    <w:rsid w:val="728213F4"/>
    <w:rsid w:val="72D1172F"/>
    <w:rsid w:val="73B52595"/>
    <w:rsid w:val="7443412E"/>
    <w:rsid w:val="745078F7"/>
    <w:rsid w:val="74A94EAA"/>
    <w:rsid w:val="74B73D3A"/>
    <w:rsid w:val="74F07550"/>
    <w:rsid w:val="758A453A"/>
    <w:rsid w:val="75955044"/>
    <w:rsid w:val="75A558DD"/>
    <w:rsid w:val="75EB4A06"/>
    <w:rsid w:val="76867E3D"/>
    <w:rsid w:val="76C35B86"/>
    <w:rsid w:val="77227151"/>
    <w:rsid w:val="773C174A"/>
    <w:rsid w:val="777C730B"/>
    <w:rsid w:val="7ACF26F6"/>
    <w:rsid w:val="7B016CDB"/>
    <w:rsid w:val="7BAE0798"/>
    <w:rsid w:val="7C39190A"/>
    <w:rsid w:val="7C601D5B"/>
    <w:rsid w:val="7DC621E5"/>
    <w:rsid w:val="7E4B2CAF"/>
    <w:rsid w:val="7E6C272D"/>
    <w:rsid w:val="7EC86A06"/>
    <w:rsid w:val="7F6353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heme="minorBidi"/>
      <w:kern w:val="2"/>
      <w:sz w:val="21"/>
      <w:szCs w:val="22"/>
      <w:lang w:val="en-US" w:eastAsia="zh-CN" w:bidi="ar-SA"/>
    </w:rPr>
  </w:style>
  <w:style w:type="paragraph" w:styleId="2">
    <w:name w:val="heading 1"/>
    <w:basedOn w:val="1"/>
    <w:next w:val="1"/>
    <w:link w:val="26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4"/>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55"/>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156"/>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57"/>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158"/>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159"/>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160"/>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161"/>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266"/>
    <w:unhideWhenUsed/>
    <w:qFormat/>
    <w:uiPriority w:val="99"/>
    <w:pPr>
      <w:jc w:val="left"/>
    </w:pPr>
  </w:style>
  <w:style w:type="paragraph" w:styleId="12">
    <w:name w:val="Body Text"/>
    <w:basedOn w:val="1"/>
    <w:link w:val="255"/>
    <w:qFormat/>
    <w:uiPriority w:val="0"/>
    <w:pPr>
      <w:spacing w:line="360" w:lineRule="auto"/>
      <w:textAlignment w:val="baseline"/>
    </w:pPr>
    <w:rPr>
      <w:rFonts w:hAnsi="宋体" w:cs="Times New Roman"/>
      <w:sz w:val="24"/>
      <w:szCs w:val="24"/>
    </w:rPr>
  </w:style>
  <w:style w:type="paragraph" w:styleId="13">
    <w:name w:val="Balloon Text"/>
    <w:basedOn w:val="1"/>
    <w:link w:val="257"/>
    <w:unhideWhenUsed/>
    <w:qFormat/>
    <w:uiPriority w:val="99"/>
    <w:rPr>
      <w:sz w:val="18"/>
      <w:szCs w:val="18"/>
    </w:rPr>
  </w:style>
  <w:style w:type="paragraph" w:styleId="14">
    <w:name w:val="footer"/>
    <w:basedOn w:val="1"/>
    <w:link w:val="236"/>
    <w:unhideWhenUsed/>
    <w:qFormat/>
    <w:uiPriority w:val="99"/>
    <w:pPr>
      <w:tabs>
        <w:tab w:val="center" w:pos="4153"/>
        <w:tab w:val="right" w:pos="8306"/>
      </w:tabs>
      <w:snapToGrid w:val="0"/>
      <w:jc w:val="left"/>
    </w:pPr>
    <w:rPr>
      <w:sz w:val="18"/>
      <w:szCs w:val="18"/>
    </w:rPr>
  </w:style>
  <w:style w:type="paragraph" w:styleId="15">
    <w:name w:val="header"/>
    <w:basedOn w:val="1"/>
    <w:link w:val="235"/>
    <w:unhideWhenUsed/>
    <w:qFormat/>
    <w:uiPriority w:val="0"/>
    <w:pPr>
      <w:pBdr>
        <w:bottom w:val="single" w:color="auto" w:sz="6" w:space="1"/>
      </w:pBdr>
      <w:tabs>
        <w:tab w:val="center" w:pos="4153"/>
        <w:tab w:val="right" w:pos="8306"/>
      </w:tabs>
      <w:snapToGrid w:val="0"/>
      <w:jc w:val="center"/>
    </w:pPr>
    <w:rPr>
      <w:sz w:val="18"/>
      <w:szCs w:val="18"/>
    </w:rPr>
  </w:style>
  <w:style w:type="paragraph" w:styleId="16">
    <w:name w:val="footnote text"/>
    <w:basedOn w:val="1"/>
    <w:link w:val="200"/>
    <w:unhideWhenUsed/>
    <w:qFormat/>
    <w:uiPriority w:val="99"/>
    <w:pPr>
      <w:widowControl/>
      <w:autoSpaceDE w:val="0"/>
      <w:autoSpaceDN w:val="0"/>
      <w:ind w:left="403" w:leftChars="200" w:hanging="198" w:hangingChars="200"/>
    </w:pPr>
    <w:rPr>
      <w:rFonts w:hAnsi="宋体"/>
      <w:sz w:val="15"/>
      <w:szCs w:val="18"/>
    </w:rPr>
  </w:style>
  <w:style w:type="paragraph" w:styleId="17">
    <w:name w:val="Normal (Web)"/>
    <w:basedOn w:val="1"/>
    <w:unhideWhenUsed/>
    <w:qFormat/>
    <w:uiPriority w:val="99"/>
    <w:pPr>
      <w:widowControl/>
      <w:spacing w:before="100" w:beforeAutospacing="1" w:after="100" w:afterAutospacing="1"/>
      <w:jc w:val="left"/>
    </w:pPr>
    <w:rPr>
      <w:rFonts w:hAnsi="宋体" w:cs="宋体"/>
      <w:kern w:val="0"/>
      <w:sz w:val="24"/>
      <w:szCs w:val="24"/>
    </w:rPr>
  </w:style>
  <w:style w:type="paragraph" w:styleId="18">
    <w:name w:val="annotation subject"/>
    <w:basedOn w:val="11"/>
    <w:next w:val="11"/>
    <w:link w:val="267"/>
    <w:semiHidden/>
    <w:unhideWhenUsed/>
    <w:qFormat/>
    <w:uiPriority w:val="99"/>
    <w:rPr>
      <w:b/>
      <w:bCs/>
    </w:rPr>
  </w:style>
  <w:style w:type="table" w:styleId="20">
    <w:name w:val="Table Grid"/>
    <w:basedOn w:val="19"/>
    <w:qFormat/>
    <w:uiPriority w:val="0"/>
    <w:pPr>
      <w:numPr>
        <w:numId w:val="2"/>
      </w:numPr>
      <w:tabs>
        <w:tab w:val="left" w:pos="850"/>
      </w:tabs>
    </w:pPr>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2">
    <w:name w:val="Emphasis"/>
    <w:basedOn w:val="21"/>
    <w:qFormat/>
    <w:uiPriority w:val="20"/>
    <w:rPr>
      <w:i/>
      <w:iCs/>
    </w:rPr>
  </w:style>
  <w:style w:type="character" w:styleId="23">
    <w:name w:val="Hyperlink"/>
    <w:basedOn w:val="21"/>
    <w:unhideWhenUsed/>
    <w:qFormat/>
    <w:uiPriority w:val="99"/>
    <w:rPr>
      <w:color w:val="0563C1" w:themeColor="hyperlink"/>
      <w:u w:val="single"/>
      <w14:textFill>
        <w14:solidFill>
          <w14:schemeClr w14:val="hlink"/>
        </w14:solidFill>
      </w14:textFill>
    </w:rPr>
  </w:style>
  <w:style w:type="character" w:styleId="24">
    <w:name w:val="annotation reference"/>
    <w:basedOn w:val="21"/>
    <w:semiHidden/>
    <w:unhideWhenUsed/>
    <w:qFormat/>
    <w:uiPriority w:val="99"/>
    <w:rPr>
      <w:sz w:val="21"/>
      <w:szCs w:val="21"/>
    </w:rPr>
  </w:style>
  <w:style w:type="character" w:styleId="25">
    <w:name w:val="footnote reference"/>
    <w:basedOn w:val="21"/>
    <w:unhideWhenUsed/>
    <w:qFormat/>
    <w:uiPriority w:val="99"/>
    <w:rPr>
      <w:rFonts w:ascii="宋体" w:hAnsi="宋体" w:eastAsia="宋体"/>
      <w:sz w:val="18"/>
      <w:vertAlign w:val="superscript"/>
    </w:rPr>
  </w:style>
  <w:style w:type="paragraph" w:customStyle="1" w:styleId="26">
    <w:name w:val="标准文件_段"/>
    <w:link w:val="27"/>
    <w:qFormat/>
    <w:uiPriority w:val="0"/>
    <w:pPr>
      <w:ind w:firstLine="198" w:firstLineChars="200"/>
      <w:jc w:val="both"/>
    </w:pPr>
    <w:rPr>
      <w:rFonts w:ascii="宋体" w:hAnsi="Times New Roman" w:eastAsia="宋体" w:cstheme="minorBidi"/>
      <w:sz w:val="21"/>
      <w:lang w:val="en-US" w:eastAsia="zh-CN" w:bidi="ar-SA"/>
    </w:rPr>
  </w:style>
  <w:style w:type="character" w:customStyle="1" w:styleId="27">
    <w:name w:val="标准文件_段 字符"/>
    <w:basedOn w:val="21"/>
    <w:link w:val="26"/>
    <w:qFormat/>
    <w:uiPriority w:val="0"/>
    <w:rPr>
      <w:rFonts w:ascii="宋体" w:hAnsi="Times New Roman" w:eastAsia="宋体"/>
      <w:sz w:val="21"/>
    </w:rPr>
  </w:style>
  <w:style w:type="paragraph" w:customStyle="1" w:styleId="28">
    <w:name w:val="标准标志"/>
    <w:next w:val="1"/>
    <w:link w:val="29"/>
    <w:qFormat/>
    <w:uiPriority w:val="0"/>
    <w:pPr>
      <w:framePr w:w="2546" w:h="1134" w:hRule="exact" w:hSpace="181" w:wrap="around" w:vAnchor="margin" w:hAnchor="margin" w:x="6520" w:y="420" w:anchorLock="1"/>
      <w:shd w:val="clear" w:color="auto" w:fill="FFFFFF"/>
      <w:spacing w:line="14" w:lineRule="atLeast"/>
      <w:jc w:val="right"/>
    </w:pPr>
    <w:rPr>
      <w:rFonts w:ascii="Times New Roman" w:hAnsi="Times New Roman" w:eastAsia="宋体" w:cs="Times New Roman"/>
      <w:b/>
      <w:w w:val="170"/>
      <w:sz w:val="96"/>
      <w:szCs w:val="22"/>
      <w:lang w:val="en-US" w:eastAsia="zh-CN" w:bidi="ar-SA"/>
    </w:rPr>
  </w:style>
  <w:style w:type="character" w:customStyle="1" w:styleId="29">
    <w:name w:val="标准标志 字符"/>
    <w:basedOn w:val="21"/>
    <w:link w:val="28"/>
    <w:qFormat/>
    <w:uiPriority w:val="0"/>
    <w:rPr>
      <w:rFonts w:ascii="Times New Roman" w:hAnsi="Times New Roman" w:eastAsia="宋体" w:cs="Times New Roman"/>
      <w:b/>
      <w:w w:val="170"/>
      <w:kern w:val="0"/>
      <w:sz w:val="96"/>
      <w:shd w:val="clear" w:color="auto" w:fill="FFFFFF"/>
    </w:rPr>
  </w:style>
  <w:style w:type="paragraph" w:customStyle="1" w:styleId="30">
    <w:name w:val="标准标志2"/>
    <w:next w:val="1"/>
    <w:link w:val="31"/>
    <w:qFormat/>
    <w:uiPriority w:val="0"/>
    <w:pPr>
      <w:framePr w:wrap="around" w:vAnchor="margin" w:hAnchor="margin" w:x="5613" w:y="397" w:anchorLock="1"/>
      <w:shd w:val="clear" w:color="auto" w:fill="FFFFFF"/>
      <w:spacing w:line="14" w:lineRule="atLeast"/>
      <w:jc w:val="right"/>
    </w:pPr>
    <w:rPr>
      <w:rFonts w:ascii="Times New Roman" w:hAnsi="Times New Roman" w:eastAsia="宋体" w:cs="Times New Roman"/>
      <w:b/>
      <w:w w:val="130"/>
      <w:sz w:val="96"/>
      <w:szCs w:val="22"/>
      <w:lang w:val="en-US" w:eastAsia="zh-CN" w:bidi="ar-SA"/>
    </w:rPr>
  </w:style>
  <w:style w:type="character" w:customStyle="1" w:styleId="31">
    <w:name w:val="标准标志2 字符"/>
    <w:basedOn w:val="21"/>
    <w:link w:val="30"/>
    <w:qFormat/>
    <w:uiPriority w:val="0"/>
    <w:rPr>
      <w:rFonts w:ascii="Times New Roman" w:hAnsi="Times New Roman" w:eastAsia="宋体" w:cs="Times New Roman"/>
      <w:b/>
      <w:w w:val="130"/>
      <w:kern w:val="0"/>
      <w:sz w:val="96"/>
      <w:shd w:val="clear" w:color="auto" w:fill="FFFFFF"/>
    </w:rPr>
  </w:style>
  <w:style w:type="paragraph" w:customStyle="1" w:styleId="32">
    <w:name w:val="标准称谓"/>
    <w:next w:val="1"/>
    <w:link w:val="33"/>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宋体" w:hAnsi="Times New Roman" w:eastAsia="宋体" w:cs="Times New Roman"/>
      <w:b/>
      <w:w w:val="148"/>
      <w:sz w:val="48"/>
      <w:szCs w:val="22"/>
      <w:lang w:val="en-US" w:eastAsia="zh-CN" w:bidi="ar-SA"/>
    </w:rPr>
  </w:style>
  <w:style w:type="character" w:customStyle="1" w:styleId="33">
    <w:name w:val="标准称谓 字符"/>
    <w:basedOn w:val="21"/>
    <w:link w:val="32"/>
    <w:qFormat/>
    <w:uiPriority w:val="0"/>
    <w:rPr>
      <w:rFonts w:ascii="宋体" w:hAnsi="Times New Roman" w:eastAsia="宋体" w:cs="Times New Roman"/>
      <w:b/>
      <w:w w:val="148"/>
      <w:kern w:val="0"/>
      <w:sz w:val="48"/>
    </w:rPr>
  </w:style>
  <w:style w:type="paragraph" w:customStyle="1" w:styleId="34">
    <w:name w:val="标准称谓2"/>
    <w:next w:val="1"/>
    <w:link w:val="35"/>
    <w:qFormat/>
    <w:uiPriority w:val="0"/>
    <w:pPr>
      <w:framePr w:w="6780" w:h="907" w:hRule="exact" w:hSpace="181" w:vSpace="181" w:wrap="around" w:vAnchor="page" w:hAnchor="page" w:xAlign="center" w:y="2268" w:anchorLock="1"/>
      <w:widowControl w:val="0"/>
      <w:kinsoku w:val="0"/>
      <w:overflowPunct w:val="0"/>
      <w:autoSpaceDE w:val="0"/>
      <w:autoSpaceDN w:val="0"/>
      <w:spacing w:line="14" w:lineRule="atLeast"/>
      <w:jc w:val="distribute"/>
    </w:pPr>
    <w:rPr>
      <w:rFonts w:ascii="Times New Roman" w:hAnsi="Times New Roman" w:eastAsia="黑体" w:cs="Times New Roman"/>
      <w:spacing w:val="-39"/>
      <w:kern w:val="2"/>
      <w:sz w:val="72"/>
      <w:szCs w:val="72"/>
      <w:lang w:val="en-US" w:eastAsia="zh-CN" w:bidi="ar-SA"/>
    </w:rPr>
  </w:style>
  <w:style w:type="character" w:customStyle="1" w:styleId="35">
    <w:name w:val="标准称谓2 字符"/>
    <w:basedOn w:val="21"/>
    <w:link w:val="34"/>
    <w:qFormat/>
    <w:uiPriority w:val="0"/>
    <w:rPr>
      <w:rFonts w:ascii="Times New Roman" w:hAnsi="Times New Roman" w:eastAsia="黑体" w:cs="Times New Roman"/>
      <w:spacing w:val="-39"/>
      <w:sz w:val="72"/>
      <w:szCs w:val="72"/>
    </w:rPr>
  </w:style>
  <w:style w:type="paragraph" w:customStyle="1" w:styleId="36">
    <w:name w:val="标准称谓3"/>
    <w:next w:val="1"/>
    <w:link w:val="37"/>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黑体" w:hAnsi="Times New Roman" w:eastAsia="黑体" w:cs="Times New Roman"/>
      <w:sz w:val="48"/>
      <w:lang w:val="en-US" w:eastAsia="zh-CN" w:bidi="ar-SA"/>
    </w:rPr>
  </w:style>
  <w:style w:type="character" w:customStyle="1" w:styleId="37">
    <w:name w:val="标准称谓3 字符"/>
    <w:basedOn w:val="21"/>
    <w:link w:val="36"/>
    <w:qFormat/>
    <w:uiPriority w:val="0"/>
    <w:rPr>
      <w:rFonts w:ascii="黑体" w:hAnsi="Times New Roman" w:eastAsia="黑体" w:cs="Times New Roman"/>
      <w:sz w:val="48"/>
    </w:rPr>
  </w:style>
  <w:style w:type="paragraph" w:customStyle="1" w:styleId="38">
    <w:name w:val="标准书脚_奇数页"/>
    <w:link w:val="39"/>
    <w:qFormat/>
    <w:uiPriority w:val="0"/>
    <w:pPr>
      <w:ind w:right="227"/>
      <w:jc w:val="right"/>
    </w:pPr>
    <w:rPr>
      <w:rFonts w:ascii="宋体" w:hAnsi="Times New Roman" w:eastAsia="宋体" w:cstheme="minorBidi"/>
      <w:sz w:val="18"/>
      <w:lang w:val="en-US" w:eastAsia="zh-CN" w:bidi="ar-SA"/>
    </w:rPr>
  </w:style>
  <w:style w:type="character" w:customStyle="1" w:styleId="39">
    <w:name w:val="标准书脚_奇数页 字符"/>
    <w:basedOn w:val="21"/>
    <w:link w:val="38"/>
    <w:qFormat/>
    <w:uiPriority w:val="0"/>
    <w:rPr>
      <w:rFonts w:ascii="宋体" w:hAnsi="Times New Roman" w:eastAsia="宋体"/>
      <w:sz w:val="18"/>
    </w:rPr>
  </w:style>
  <w:style w:type="paragraph" w:customStyle="1" w:styleId="40">
    <w:name w:val="标准书眉_奇数页"/>
    <w:next w:val="1"/>
    <w:link w:val="41"/>
    <w:qFormat/>
    <w:uiPriority w:val="0"/>
    <w:pPr>
      <w:tabs>
        <w:tab w:val="center" w:pos="4153"/>
        <w:tab w:val="right" w:pos="8306"/>
      </w:tabs>
      <w:spacing w:after="120"/>
      <w:jc w:val="right"/>
    </w:pPr>
    <w:rPr>
      <w:rFonts w:ascii="黑体" w:hAnsi="Times New Roman" w:eastAsia="黑体" w:cstheme="minorBidi"/>
      <w:sz w:val="21"/>
      <w:lang w:val="en-US" w:eastAsia="zh-CN" w:bidi="ar-SA"/>
    </w:rPr>
  </w:style>
  <w:style w:type="character" w:customStyle="1" w:styleId="41">
    <w:name w:val="标准书眉_奇数页 字符"/>
    <w:basedOn w:val="21"/>
    <w:link w:val="40"/>
    <w:qFormat/>
    <w:uiPriority w:val="0"/>
    <w:rPr>
      <w:rFonts w:ascii="黑体" w:hAnsi="Times New Roman" w:eastAsia="黑体"/>
      <w:sz w:val="21"/>
    </w:rPr>
  </w:style>
  <w:style w:type="paragraph" w:customStyle="1" w:styleId="42">
    <w:name w:val="标准书眉_偶数页"/>
    <w:next w:val="1"/>
    <w:link w:val="43"/>
    <w:qFormat/>
    <w:uiPriority w:val="0"/>
    <w:pPr>
      <w:spacing w:after="120"/>
    </w:pPr>
    <w:rPr>
      <w:rFonts w:ascii="黑体" w:hAnsi="Times New Roman" w:eastAsia="黑体" w:cstheme="minorBidi"/>
      <w:sz w:val="21"/>
      <w:szCs w:val="22"/>
      <w:lang w:val="en-US" w:eastAsia="zh-CN" w:bidi="ar-SA"/>
    </w:rPr>
  </w:style>
  <w:style w:type="character" w:customStyle="1" w:styleId="43">
    <w:name w:val="标准书眉_偶数页 字符"/>
    <w:basedOn w:val="21"/>
    <w:link w:val="42"/>
    <w:qFormat/>
    <w:uiPriority w:val="0"/>
    <w:rPr>
      <w:rFonts w:ascii="黑体" w:hAnsi="Times New Roman" w:eastAsia="黑体"/>
      <w:kern w:val="0"/>
    </w:rPr>
  </w:style>
  <w:style w:type="paragraph" w:customStyle="1" w:styleId="44">
    <w:name w:val="标准文件_参考文献标题"/>
    <w:basedOn w:val="1"/>
    <w:next w:val="1"/>
    <w:link w:val="45"/>
    <w:qFormat/>
    <w:uiPriority w:val="0"/>
    <w:pPr>
      <w:widowControl/>
      <w:spacing w:beforeLines="40" w:afterLines="50"/>
      <w:jc w:val="center"/>
      <w:outlineLvl w:val="0"/>
    </w:pPr>
    <w:rPr>
      <w:rFonts w:ascii="黑体" w:eastAsia="黑体"/>
      <w:kern w:val="0"/>
    </w:rPr>
  </w:style>
  <w:style w:type="character" w:customStyle="1" w:styleId="45">
    <w:name w:val="标准文件_参考文献标题 字符"/>
    <w:basedOn w:val="21"/>
    <w:link w:val="44"/>
    <w:qFormat/>
    <w:uiPriority w:val="0"/>
    <w:rPr>
      <w:rFonts w:ascii="黑体" w:hAnsi="Times New Roman" w:eastAsia="黑体"/>
      <w:kern w:val="0"/>
    </w:rPr>
  </w:style>
  <w:style w:type="paragraph" w:customStyle="1" w:styleId="46">
    <w:name w:val="封面标准顶部线"/>
    <w:link w:val="47"/>
    <w:qFormat/>
    <w:uiPriority w:val="0"/>
    <w:pPr>
      <w:framePr w:w="9672" w:hSpace="181" w:wrap="around" w:vAnchor="page" w:hAnchor="page" w:x="1389" w:y="4241"/>
      <w:spacing w:line="14" w:lineRule="atLeast"/>
    </w:pPr>
    <w:rPr>
      <w:rFonts w:ascii="宋体" w:hAnsi="Times New Roman" w:eastAsia="宋体" w:cs="Times New Roman"/>
      <w:sz w:val="21"/>
      <w:lang w:val="en-US" w:eastAsia="zh-CN" w:bidi="ar-SA"/>
    </w:rPr>
  </w:style>
  <w:style w:type="character" w:customStyle="1" w:styleId="47">
    <w:name w:val="封面标准顶部线 字符"/>
    <w:basedOn w:val="21"/>
    <w:link w:val="46"/>
    <w:qFormat/>
    <w:uiPriority w:val="0"/>
    <w:rPr>
      <w:rFonts w:ascii="宋体" w:hAnsi="Times New Roman" w:eastAsia="宋体" w:cs="Times New Roman"/>
      <w:sz w:val="21"/>
    </w:rPr>
  </w:style>
  <w:style w:type="paragraph" w:customStyle="1" w:styleId="48">
    <w:name w:val="发布部门"/>
    <w:next w:val="26"/>
    <w:link w:val="49"/>
    <w:qFormat/>
    <w:uiPriority w:val="0"/>
    <w:pPr>
      <w:framePr w:w="7937" w:h="1134" w:hRule="exact" w:hSpace="125" w:vSpace="181" w:wrap="around" w:vAnchor="page" w:hAnchor="page" w:x="2149" w:y="14627" w:anchorLock="1"/>
      <w:spacing w:before="100"/>
      <w:jc w:val="center"/>
    </w:pPr>
    <w:rPr>
      <w:rFonts w:ascii="宋体" w:hAnsi="Times New Roman" w:eastAsia="宋体" w:cs="Times New Roman"/>
      <w:spacing w:val="20"/>
      <w:w w:val="135"/>
      <w:sz w:val="28"/>
      <w:szCs w:val="22"/>
      <w:lang w:val="en-US" w:eastAsia="zh-CN" w:bidi="ar-SA"/>
    </w:rPr>
  </w:style>
  <w:style w:type="character" w:customStyle="1" w:styleId="49">
    <w:name w:val="发布部门 字符"/>
    <w:basedOn w:val="21"/>
    <w:link w:val="48"/>
    <w:qFormat/>
    <w:uiPriority w:val="0"/>
    <w:rPr>
      <w:rFonts w:ascii="宋体" w:hAnsi="Times New Roman" w:eastAsia="宋体" w:cs="Times New Roman"/>
      <w:spacing w:val="20"/>
      <w:w w:val="135"/>
      <w:kern w:val="0"/>
      <w:sz w:val="28"/>
    </w:rPr>
  </w:style>
  <w:style w:type="paragraph" w:customStyle="1" w:styleId="50">
    <w:name w:val="发布日期"/>
    <w:link w:val="51"/>
    <w:qFormat/>
    <w:uiPriority w:val="0"/>
    <w:pPr>
      <w:framePr w:w="3997" w:h="471" w:hRule="exact" w:hSpace="181" w:vSpace="181" w:wrap="around" w:vAnchor="margin" w:hAnchor="page" w:y="14077" w:anchorLock="1"/>
      <w:spacing w:line="360" w:lineRule="exact"/>
    </w:pPr>
    <w:rPr>
      <w:rFonts w:ascii="黑体" w:hAnsi="Times New Roman" w:eastAsia="黑体" w:cs="Times New Roman"/>
      <w:sz w:val="28"/>
      <w:szCs w:val="22"/>
      <w:lang w:val="en-US" w:eastAsia="zh-CN" w:bidi="ar-SA"/>
    </w:rPr>
  </w:style>
  <w:style w:type="character" w:customStyle="1" w:styleId="51">
    <w:name w:val="发布日期 字符"/>
    <w:basedOn w:val="21"/>
    <w:link w:val="50"/>
    <w:qFormat/>
    <w:uiPriority w:val="0"/>
    <w:rPr>
      <w:rFonts w:ascii="黑体" w:hAnsi="Times New Roman" w:eastAsia="黑体" w:cs="Times New Roman"/>
      <w:kern w:val="0"/>
      <w:sz w:val="28"/>
    </w:rPr>
  </w:style>
  <w:style w:type="paragraph" w:customStyle="1" w:styleId="52">
    <w:name w:val="实施日期"/>
    <w:basedOn w:val="50"/>
    <w:link w:val="53"/>
    <w:qFormat/>
    <w:uiPriority w:val="0"/>
    <w:pPr>
      <w:framePr w:hSpace="0" w:wrap="around" w:vAnchor="page" w:hAnchor="text" w:x="7087" w:y="14174"/>
      <w:jc w:val="right"/>
    </w:pPr>
  </w:style>
  <w:style w:type="character" w:customStyle="1" w:styleId="53">
    <w:name w:val="实施日期 字符"/>
    <w:basedOn w:val="21"/>
    <w:link w:val="52"/>
    <w:qFormat/>
    <w:uiPriority w:val="0"/>
    <w:rPr>
      <w:rFonts w:ascii="黑体" w:hAnsi="Times New Roman" w:eastAsia="黑体" w:cs="Times New Roman"/>
      <w:kern w:val="0"/>
      <w:sz w:val="28"/>
    </w:rPr>
  </w:style>
  <w:style w:type="paragraph" w:customStyle="1" w:styleId="54">
    <w:name w:val="封面日期"/>
    <w:link w:val="55"/>
    <w:qFormat/>
    <w:uiPriority w:val="0"/>
    <w:pPr>
      <w:framePr w:w="9672" w:vSpace="181" w:wrap="around" w:vAnchor="page" w:hAnchor="page" w:x="1418" w:y="14174" w:anchorLock="1"/>
      <w:spacing w:line="360" w:lineRule="exact"/>
    </w:pPr>
    <w:rPr>
      <w:rFonts w:ascii="黑体" w:hAnsi="Times New Roman" w:eastAsia="黑体" w:cs="Times New Roman"/>
      <w:sz w:val="28"/>
      <w:lang w:val="en-US" w:eastAsia="zh-CN" w:bidi="ar-SA"/>
    </w:rPr>
  </w:style>
  <w:style w:type="character" w:customStyle="1" w:styleId="55">
    <w:name w:val="封面日期 字符"/>
    <w:basedOn w:val="21"/>
    <w:link w:val="54"/>
    <w:qFormat/>
    <w:uiPriority w:val="0"/>
    <w:rPr>
      <w:rFonts w:ascii="黑体" w:hAnsi="Times New Roman" w:eastAsia="黑体" w:cs="Times New Roman"/>
      <w:sz w:val="28"/>
    </w:rPr>
  </w:style>
  <w:style w:type="paragraph" w:customStyle="1" w:styleId="56">
    <w:name w:val="封面标准代替信息"/>
    <w:link w:val="57"/>
    <w:qFormat/>
    <w:uiPriority w:val="0"/>
    <w:pPr>
      <w:framePr w:w="9354" w:h="624" w:hRule="exact" w:hSpace="181" w:vSpace="181" w:wrap="around" w:vAnchor="page" w:hAnchor="page" w:x="1418" w:y="3283"/>
      <w:spacing w:before="57" w:line="280" w:lineRule="exact"/>
      <w:jc w:val="right"/>
    </w:pPr>
    <w:rPr>
      <w:rFonts w:ascii="黑体" w:hAnsi="Times New Roman" w:eastAsia="黑体" w:cs="Times New Roman"/>
      <w:sz w:val="21"/>
      <w:lang w:val="en-US" w:eastAsia="zh-CN" w:bidi="ar-SA"/>
    </w:rPr>
  </w:style>
  <w:style w:type="character" w:customStyle="1" w:styleId="57">
    <w:name w:val="封面标准代替信息 字符"/>
    <w:basedOn w:val="21"/>
    <w:link w:val="56"/>
    <w:qFormat/>
    <w:uiPriority w:val="0"/>
    <w:rPr>
      <w:rFonts w:ascii="黑体" w:hAnsi="Times New Roman" w:eastAsia="黑体" w:cs="Times New Roman"/>
      <w:sz w:val="21"/>
    </w:rPr>
  </w:style>
  <w:style w:type="paragraph" w:customStyle="1" w:styleId="58">
    <w:name w:val="封面标准号2"/>
    <w:link w:val="59"/>
    <w:qFormat/>
    <w:uiPriority w:val="0"/>
    <w:pPr>
      <w:framePr w:w="9354" w:h="624" w:hRule="exact" w:hSpace="181" w:vSpace="181" w:wrap="around" w:vAnchor="page" w:hAnchor="page" w:x="1418" w:y="3283"/>
      <w:spacing w:line="280" w:lineRule="exact"/>
      <w:jc w:val="right"/>
    </w:pPr>
    <w:rPr>
      <w:rFonts w:ascii="黑体" w:hAnsi="Times New Roman" w:eastAsia="黑体" w:cs="Times New Roman"/>
      <w:sz w:val="28"/>
      <w:lang w:val="en-US" w:eastAsia="zh-CN" w:bidi="ar-SA"/>
    </w:rPr>
  </w:style>
  <w:style w:type="character" w:customStyle="1" w:styleId="59">
    <w:name w:val="封面标准号2 字符"/>
    <w:basedOn w:val="21"/>
    <w:link w:val="58"/>
    <w:qFormat/>
    <w:uiPriority w:val="0"/>
    <w:rPr>
      <w:rFonts w:ascii="黑体" w:hAnsi="Times New Roman" w:eastAsia="黑体" w:cs="Times New Roman"/>
      <w:sz w:val="28"/>
    </w:rPr>
  </w:style>
  <w:style w:type="paragraph" w:customStyle="1" w:styleId="60">
    <w:name w:val="封面标准名称"/>
    <w:link w:val="61"/>
    <w:qFormat/>
    <w:uiPriority w:val="0"/>
    <w:pPr>
      <w:framePr w:w="9638" w:h="6973" w:hRule="exact" w:wrap="around" w:vAnchor="page" w:hAnchor="page" w:x="1418" w:y="6407"/>
      <w:spacing w:line="700" w:lineRule="exact"/>
      <w:jc w:val="center"/>
    </w:pPr>
    <w:rPr>
      <w:rFonts w:ascii="黑体" w:hAnsi="Times New Roman" w:eastAsia="黑体" w:cs="Times New Roman"/>
      <w:sz w:val="52"/>
      <w:lang w:val="en-US" w:eastAsia="zh-CN" w:bidi="ar-SA"/>
    </w:rPr>
  </w:style>
  <w:style w:type="character" w:customStyle="1" w:styleId="61">
    <w:name w:val="封面标准名称 字符"/>
    <w:basedOn w:val="21"/>
    <w:link w:val="60"/>
    <w:qFormat/>
    <w:uiPriority w:val="0"/>
    <w:rPr>
      <w:rFonts w:ascii="黑体" w:hAnsi="Times New Roman" w:eastAsia="黑体" w:cs="Times New Roman"/>
      <w:sz w:val="52"/>
    </w:rPr>
  </w:style>
  <w:style w:type="paragraph" w:customStyle="1" w:styleId="62">
    <w:name w:val="封面标准英文名称"/>
    <w:basedOn w:val="60"/>
    <w:link w:val="63"/>
    <w:qFormat/>
    <w:uiPriority w:val="0"/>
    <w:pPr>
      <w:framePr w:wrap="around"/>
      <w:widowControl w:val="0"/>
      <w:spacing w:before="410" w:line="360" w:lineRule="exact"/>
      <w:textAlignment w:val="bottom"/>
    </w:pPr>
    <w:rPr>
      <w:rFonts w:ascii="Times New Roman"/>
      <w:sz w:val="28"/>
    </w:rPr>
  </w:style>
  <w:style w:type="character" w:customStyle="1" w:styleId="63">
    <w:name w:val="封面标准英文名称 字符"/>
    <w:basedOn w:val="21"/>
    <w:link w:val="62"/>
    <w:qFormat/>
    <w:uiPriority w:val="0"/>
    <w:rPr>
      <w:rFonts w:ascii="Times New Roman" w:hAnsi="Times New Roman" w:eastAsia="黑体" w:cs="Times New Roman"/>
      <w:sz w:val="28"/>
    </w:rPr>
  </w:style>
  <w:style w:type="paragraph" w:customStyle="1" w:styleId="64">
    <w:name w:val="封面一致性程度标识"/>
    <w:basedOn w:val="62"/>
    <w:link w:val="65"/>
    <w:qFormat/>
    <w:uiPriority w:val="0"/>
    <w:pPr>
      <w:framePr w:wrap="around"/>
      <w:spacing w:before="760"/>
    </w:pPr>
  </w:style>
  <w:style w:type="character" w:customStyle="1" w:styleId="65">
    <w:name w:val="封面一致性程度标识 字符"/>
    <w:basedOn w:val="21"/>
    <w:link w:val="64"/>
    <w:qFormat/>
    <w:uiPriority w:val="0"/>
    <w:rPr>
      <w:rFonts w:ascii="Times New Roman" w:hAnsi="Times New Roman" w:eastAsia="黑体" w:cs="Times New Roman"/>
      <w:sz w:val="28"/>
    </w:rPr>
  </w:style>
  <w:style w:type="paragraph" w:customStyle="1" w:styleId="66">
    <w:name w:val="封面标准文稿类别"/>
    <w:basedOn w:val="64"/>
    <w:link w:val="67"/>
    <w:qFormat/>
    <w:uiPriority w:val="0"/>
    <w:pPr>
      <w:framePr w:wrap="around"/>
      <w:spacing w:before="440" w:after="160"/>
    </w:pPr>
    <w:rPr>
      <w:rFonts w:ascii="黑体" w:hAnsi="黑体"/>
      <w:sz w:val="24"/>
    </w:rPr>
  </w:style>
  <w:style w:type="character" w:customStyle="1" w:styleId="67">
    <w:name w:val="封面标准文稿类别 字符"/>
    <w:basedOn w:val="21"/>
    <w:link w:val="66"/>
    <w:qFormat/>
    <w:uiPriority w:val="0"/>
    <w:rPr>
      <w:rFonts w:ascii="黑体" w:hAnsi="黑体" w:eastAsia="黑体" w:cs="Times New Roman"/>
      <w:sz w:val="24"/>
    </w:rPr>
  </w:style>
  <w:style w:type="paragraph" w:customStyle="1" w:styleId="68">
    <w:name w:val="封面标准文稿编辑信息"/>
    <w:basedOn w:val="66"/>
    <w:link w:val="69"/>
    <w:qFormat/>
    <w:uiPriority w:val="0"/>
    <w:pPr>
      <w:framePr w:wrap="around"/>
      <w:spacing w:before="180" w:after="0" w:line="240" w:lineRule="atLeast"/>
    </w:pPr>
    <w:rPr>
      <w:rFonts w:ascii="宋体" w:hAnsi="宋体" w:eastAsia="宋体"/>
      <w:sz w:val="21"/>
    </w:rPr>
  </w:style>
  <w:style w:type="character" w:customStyle="1" w:styleId="69">
    <w:name w:val="封面标准文稿编辑信息 字符"/>
    <w:basedOn w:val="21"/>
    <w:link w:val="68"/>
    <w:qFormat/>
    <w:uiPriority w:val="0"/>
    <w:rPr>
      <w:rFonts w:ascii="宋体" w:hAnsi="宋体" w:eastAsia="宋体" w:cs="Times New Roman"/>
      <w:sz w:val="21"/>
    </w:rPr>
  </w:style>
  <w:style w:type="paragraph" w:customStyle="1" w:styleId="70">
    <w:name w:val="封面标准文稿附件"/>
    <w:basedOn w:val="66"/>
    <w:link w:val="71"/>
    <w:qFormat/>
    <w:uiPriority w:val="0"/>
    <w:pPr>
      <w:framePr w:wrap="around"/>
      <w:spacing w:beforeLines="300" w:afterLines="30" w:line="240" w:lineRule="auto"/>
    </w:pPr>
    <w:rPr>
      <w:rFonts w:ascii="Times New Roman" w:hAnsi="Times New Roman"/>
      <w:b/>
      <w:sz w:val="21"/>
    </w:rPr>
  </w:style>
  <w:style w:type="character" w:customStyle="1" w:styleId="71">
    <w:name w:val="封面标准文稿附件 字符"/>
    <w:basedOn w:val="21"/>
    <w:link w:val="70"/>
    <w:qFormat/>
    <w:uiPriority w:val="0"/>
    <w:rPr>
      <w:rFonts w:ascii="Times New Roman" w:hAnsi="Times New Roman" w:eastAsia="黑体" w:cs="Times New Roman"/>
      <w:b/>
      <w:sz w:val="21"/>
    </w:rPr>
  </w:style>
  <w:style w:type="paragraph" w:customStyle="1" w:styleId="72">
    <w:name w:val="其他发布部门"/>
    <w:basedOn w:val="48"/>
    <w:link w:val="73"/>
    <w:qFormat/>
    <w:uiPriority w:val="0"/>
    <w:pPr>
      <w:framePr w:wrap="around" w:y="15308"/>
      <w:spacing w:line="14" w:lineRule="atLeast"/>
    </w:pPr>
    <w:rPr>
      <w:rFonts w:ascii="黑体" w:hAnsi="黑体" w:eastAsia="黑体"/>
    </w:rPr>
  </w:style>
  <w:style w:type="character" w:customStyle="1" w:styleId="73">
    <w:name w:val="其他发布部门 字符"/>
    <w:basedOn w:val="21"/>
    <w:link w:val="72"/>
    <w:qFormat/>
    <w:uiPriority w:val="0"/>
    <w:rPr>
      <w:rFonts w:ascii="黑体" w:hAnsi="黑体" w:eastAsia="黑体" w:cs="Times New Roman"/>
      <w:spacing w:val="20"/>
      <w:w w:val="135"/>
      <w:kern w:val="0"/>
      <w:sz w:val="28"/>
    </w:rPr>
  </w:style>
  <w:style w:type="paragraph" w:customStyle="1" w:styleId="74">
    <w:name w:val="其他发布部门2"/>
    <w:basedOn w:val="48"/>
    <w:link w:val="75"/>
    <w:qFormat/>
    <w:uiPriority w:val="0"/>
    <w:pPr>
      <w:framePr w:w="7432" w:h="584" w:hRule="exact" w:hSpace="181" w:wrap="around" w:vAnchor="margin" w:hAnchor="margin" w:xAlign="center" w:y="15024"/>
      <w:spacing w:before="0" w:line="14" w:lineRule="atLeast"/>
    </w:pPr>
    <w:rPr>
      <w:rFonts w:ascii="黑体" w:hAnsi="黑体" w:eastAsia="黑体"/>
      <w:spacing w:val="0"/>
      <w:w w:val="100"/>
      <w:szCs w:val="20"/>
    </w:rPr>
  </w:style>
  <w:style w:type="character" w:customStyle="1" w:styleId="75">
    <w:name w:val="其他发布部门2 字符"/>
    <w:basedOn w:val="21"/>
    <w:link w:val="74"/>
    <w:qFormat/>
    <w:uiPriority w:val="0"/>
    <w:rPr>
      <w:rFonts w:ascii="黑体" w:hAnsi="黑体" w:eastAsia="黑体" w:cs="Times New Roman"/>
      <w:sz w:val="28"/>
    </w:rPr>
  </w:style>
  <w:style w:type="paragraph" w:customStyle="1" w:styleId="76">
    <w:name w:val="其他发布部门3"/>
    <w:link w:val="77"/>
    <w:qFormat/>
    <w:uiPriority w:val="0"/>
    <w:pPr>
      <w:framePr w:w="9247" w:h="1259" w:hRule="exact" w:hSpace="181" w:vSpace="181" w:wrap="around" w:vAnchor="margin" w:hAnchor="margin" w:xAlign="center" w:y="14542"/>
      <w:spacing w:line="340" w:lineRule="exact"/>
      <w:jc w:val="center"/>
    </w:pPr>
    <w:rPr>
      <w:rFonts w:ascii="黑体" w:hAnsi="Times New Roman" w:eastAsia="黑体" w:cs="Times New Roman"/>
      <w:kern w:val="2"/>
      <w:sz w:val="28"/>
      <w:szCs w:val="22"/>
      <w:lang w:val="en-US" w:eastAsia="zh-CN" w:bidi="ar-SA"/>
    </w:rPr>
  </w:style>
  <w:style w:type="character" w:customStyle="1" w:styleId="77">
    <w:name w:val="其他发布部门3 字符"/>
    <w:basedOn w:val="21"/>
    <w:link w:val="76"/>
    <w:qFormat/>
    <w:uiPriority w:val="0"/>
    <w:rPr>
      <w:rFonts w:ascii="黑体" w:hAnsi="Times New Roman" w:eastAsia="黑体" w:cs="Times New Roman"/>
      <w:sz w:val="28"/>
    </w:rPr>
  </w:style>
  <w:style w:type="paragraph" w:customStyle="1" w:styleId="78">
    <w:name w:val="其他发布日期"/>
    <w:basedOn w:val="50"/>
    <w:link w:val="79"/>
    <w:qFormat/>
    <w:uiPriority w:val="0"/>
    <w:pPr>
      <w:framePr w:hSpace="0" w:wrap="around" w:vAnchor="page" w:hAnchor="text" w:x="1418" w:y="14174"/>
    </w:pPr>
  </w:style>
  <w:style w:type="character" w:customStyle="1" w:styleId="79">
    <w:name w:val="其他发布日期 字符"/>
    <w:basedOn w:val="21"/>
    <w:link w:val="78"/>
    <w:qFormat/>
    <w:uiPriority w:val="0"/>
    <w:rPr>
      <w:rFonts w:ascii="黑体" w:hAnsi="Times New Roman" w:eastAsia="黑体" w:cs="Times New Roman"/>
      <w:kern w:val="0"/>
      <w:sz w:val="28"/>
    </w:rPr>
  </w:style>
  <w:style w:type="paragraph" w:customStyle="1" w:styleId="80">
    <w:name w:val="其他实施日期"/>
    <w:basedOn w:val="52"/>
    <w:link w:val="81"/>
    <w:qFormat/>
    <w:uiPriority w:val="0"/>
    <w:pPr>
      <w:framePr w:wrap="around"/>
    </w:pPr>
  </w:style>
  <w:style w:type="character" w:customStyle="1" w:styleId="81">
    <w:name w:val="其他实施日期 字符"/>
    <w:basedOn w:val="21"/>
    <w:link w:val="80"/>
    <w:qFormat/>
    <w:uiPriority w:val="0"/>
    <w:rPr>
      <w:rFonts w:ascii="黑体" w:hAnsi="Times New Roman" w:eastAsia="黑体" w:cs="Times New Roman"/>
      <w:kern w:val="0"/>
      <w:sz w:val="28"/>
    </w:rPr>
  </w:style>
  <w:style w:type="paragraph" w:customStyle="1" w:styleId="82">
    <w:name w:val="文献分类号"/>
    <w:link w:val="83"/>
    <w:qFormat/>
    <w:uiPriority w:val="0"/>
    <w:pPr>
      <w:framePr w:wrap="around" w:vAnchor="page" w:hAnchor="page" w:x="1372" w:y="567"/>
      <w:widowControl w:val="0"/>
      <w:textAlignment w:val="center"/>
    </w:pPr>
    <w:rPr>
      <w:rFonts w:ascii="黑体" w:hAnsi="Times New Roman" w:eastAsia="黑体" w:cs="Times New Roman"/>
      <w:kern w:val="21"/>
      <w:sz w:val="21"/>
      <w:lang w:val="en-US" w:eastAsia="zh-CN" w:bidi="ar-SA"/>
    </w:rPr>
  </w:style>
  <w:style w:type="character" w:customStyle="1" w:styleId="83">
    <w:name w:val="文献分类号 字符"/>
    <w:basedOn w:val="21"/>
    <w:link w:val="82"/>
    <w:qFormat/>
    <w:uiPriority w:val="0"/>
    <w:rPr>
      <w:rFonts w:ascii="黑体" w:hAnsi="Times New Roman" w:eastAsia="黑体" w:cs="Times New Roman"/>
      <w:kern w:val="21"/>
      <w:sz w:val="21"/>
    </w:rPr>
  </w:style>
  <w:style w:type="paragraph" w:customStyle="1" w:styleId="84">
    <w:name w:val="标准文件_目录标题"/>
    <w:basedOn w:val="1"/>
    <w:link w:val="85"/>
    <w:qFormat/>
    <w:uiPriority w:val="0"/>
    <w:pPr>
      <w:shd w:val="clear" w:color="auto" w:fill="FFFFFF"/>
      <w:spacing w:afterLines="150"/>
      <w:jc w:val="center"/>
    </w:pPr>
    <w:rPr>
      <w:rFonts w:ascii="黑体" w:eastAsia="黑体"/>
      <w:kern w:val="0"/>
      <w:sz w:val="32"/>
    </w:rPr>
  </w:style>
  <w:style w:type="character" w:customStyle="1" w:styleId="85">
    <w:name w:val="标准文件_目录标题 字符"/>
    <w:basedOn w:val="21"/>
    <w:link w:val="84"/>
    <w:qFormat/>
    <w:uiPriority w:val="0"/>
    <w:rPr>
      <w:rFonts w:ascii="黑体" w:hAnsi="Times New Roman" w:eastAsia="黑体"/>
      <w:kern w:val="0"/>
      <w:sz w:val="32"/>
      <w:shd w:val="clear" w:color="auto" w:fill="FFFFFF"/>
    </w:rPr>
  </w:style>
  <w:style w:type="paragraph" w:customStyle="1" w:styleId="86">
    <w:name w:val="标准文件_前言、引言标题"/>
    <w:next w:val="1"/>
    <w:link w:val="87"/>
    <w:qFormat/>
    <w:uiPriority w:val="0"/>
    <w:pPr>
      <w:numPr>
        <w:ilvl w:val="0"/>
        <w:numId w:val="3"/>
      </w:numPr>
      <w:spacing w:afterLines="150"/>
      <w:ind w:left="0" w:firstLine="0"/>
      <w:jc w:val="center"/>
      <w:outlineLvl w:val="0"/>
    </w:pPr>
    <w:rPr>
      <w:rFonts w:ascii="黑体" w:hAnsi="Times New Roman" w:eastAsia="黑体" w:cstheme="minorBidi"/>
      <w:sz w:val="32"/>
      <w:lang w:val="en-US" w:eastAsia="zh-CN" w:bidi="ar-SA"/>
    </w:rPr>
  </w:style>
  <w:style w:type="character" w:customStyle="1" w:styleId="87">
    <w:name w:val="标准文件_前言、引言标题 字符"/>
    <w:basedOn w:val="21"/>
    <w:link w:val="86"/>
    <w:qFormat/>
    <w:uiPriority w:val="0"/>
    <w:rPr>
      <w:rFonts w:ascii="黑体" w:hAnsi="Times New Roman" w:eastAsia="黑体"/>
      <w:sz w:val="32"/>
    </w:rPr>
  </w:style>
  <w:style w:type="paragraph" w:customStyle="1" w:styleId="88">
    <w:name w:val="标准文件_正文标准名称"/>
    <w:basedOn w:val="1"/>
    <w:link w:val="89"/>
    <w:qFormat/>
    <w:uiPriority w:val="0"/>
    <w:pPr>
      <w:widowControl/>
      <w:spacing w:after="640" w:line="400" w:lineRule="exact"/>
      <w:jc w:val="center"/>
    </w:pPr>
    <w:rPr>
      <w:rFonts w:ascii="黑体" w:hAnsi="黑体" w:eastAsia="黑体"/>
      <w:sz w:val="32"/>
    </w:rPr>
  </w:style>
  <w:style w:type="character" w:customStyle="1" w:styleId="89">
    <w:name w:val="标准文件_正文标准名称 字符"/>
    <w:basedOn w:val="21"/>
    <w:link w:val="88"/>
    <w:qFormat/>
    <w:uiPriority w:val="0"/>
    <w:rPr>
      <w:rFonts w:ascii="黑体" w:hAnsi="黑体" w:eastAsia="黑体"/>
      <w:kern w:val="2"/>
      <w:sz w:val="32"/>
      <w:szCs w:val="22"/>
    </w:rPr>
  </w:style>
  <w:style w:type="paragraph" w:customStyle="1" w:styleId="90">
    <w:name w:val="标准文件_一级项"/>
    <w:next w:val="26"/>
    <w:link w:val="91"/>
    <w:qFormat/>
    <w:uiPriority w:val="0"/>
    <w:pPr>
      <w:numPr>
        <w:ilvl w:val="0"/>
        <w:numId w:val="4"/>
      </w:numPr>
    </w:pPr>
    <w:rPr>
      <w:rFonts w:ascii="宋体" w:hAnsi="Times New Roman" w:eastAsia="宋体" w:cstheme="minorBidi"/>
      <w:sz w:val="21"/>
      <w:szCs w:val="22"/>
      <w:lang w:val="en-US" w:eastAsia="zh-CN" w:bidi="ar-SA"/>
    </w:rPr>
  </w:style>
  <w:style w:type="character" w:customStyle="1" w:styleId="91">
    <w:name w:val="标准文件_一级项 字符"/>
    <w:basedOn w:val="21"/>
    <w:link w:val="90"/>
    <w:qFormat/>
    <w:uiPriority w:val="0"/>
    <w:rPr>
      <w:rFonts w:ascii="宋体" w:hAnsi="Times New Roman" w:eastAsia="宋体"/>
      <w:sz w:val="21"/>
      <w:szCs w:val="22"/>
    </w:rPr>
  </w:style>
  <w:style w:type="paragraph" w:customStyle="1" w:styleId="92">
    <w:name w:val="标准文件_二级项2"/>
    <w:basedOn w:val="26"/>
    <w:next w:val="26"/>
    <w:link w:val="93"/>
    <w:qFormat/>
    <w:uiPriority w:val="0"/>
    <w:pPr>
      <w:numPr>
        <w:ilvl w:val="1"/>
        <w:numId w:val="5"/>
      </w:numPr>
      <w:ind w:left="1271" w:hanging="420" w:firstLineChars="0"/>
    </w:pPr>
  </w:style>
  <w:style w:type="character" w:customStyle="1" w:styleId="93">
    <w:name w:val="标准文件_二级项2 字符"/>
    <w:basedOn w:val="21"/>
    <w:link w:val="92"/>
    <w:qFormat/>
    <w:uiPriority w:val="0"/>
    <w:rPr>
      <w:rFonts w:ascii="宋体" w:hAnsi="Times New Roman" w:eastAsia="宋体"/>
      <w:sz w:val="21"/>
    </w:rPr>
  </w:style>
  <w:style w:type="paragraph" w:customStyle="1" w:styleId="94">
    <w:name w:val="标准文件_三级项"/>
    <w:basedOn w:val="1"/>
    <w:next w:val="26"/>
    <w:link w:val="95"/>
    <w:qFormat/>
    <w:uiPriority w:val="0"/>
    <w:pPr>
      <w:numPr>
        <w:ilvl w:val="2"/>
        <w:numId w:val="6"/>
      </w:numPr>
      <w:tabs>
        <w:tab w:val="left" w:pos="1678"/>
        <w:tab w:val="clear" w:pos="2103"/>
      </w:tabs>
      <w:spacing w:line="300" w:lineRule="exact"/>
    </w:pPr>
    <w:rPr>
      <w:rFonts w:hAnsiTheme="minorHAnsi"/>
    </w:rPr>
  </w:style>
  <w:style w:type="character" w:customStyle="1" w:styleId="95">
    <w:name w:val="标准文件_三级项 字符"/>
    <w:basedOn w:val="21"/>
    <w:link w:val="94"/>
    <w:qFormat/>
    <w:uiPriority w:val="0"/>
    <w:rPr>
      <w:rFonts w:ascii="宋体" w:eastAsia="宋体"/>
      <w:kern w:val="2"/>
      <w:sz w:val="21"/>
      <w:szCs w:val="22"/>
    </w:rPr>
  </w:style>
  <w:style w:type="paragraph" w:customStyle="1" w:styleId="96">
    <w:name w:val="标准文件_字母编号列项（一级）"/>
    <w:next w:val="26"/>
    <w:link w:val="97"/>
    <w:qFormat/>
    <w:uiPriority w:val="0"/>
    <w:pPr>
      <w:numPr>
        <w:ilvl w:val="0"/>
        <w:numId w:val="7"/>
      </w:numPr>
      <w:jc w:val="both"/>
    </w:pPr>
    <w:rPr>
      <w:rFonts w:ascii="宋体" w:hAnsi="Times New Roman" w:eastAsia="宋体" w:cstheme="minorBidi"/>
      <w:sz w:val="21"/>
      <w:lang w:val="en-US" w:eastAsia="zh-CN" w:bidi="ar-SA"/>
    </w:rPr>
  </w:style>
  <w:style w:type="character" w:customStyle="1" w:styleId="97">
    <w:name w:val="标准文件_字母编号列项（一级） 字符"/>
    <w:basedOn w:val="21"/>
    <w:link w:val="96"/>
    <w:qFormat/>
    <w:uiPriority w:val="0"/>
    <w:rPr>
      <w:rFonts w:ascii="宋体" w:hAnsi="Times New Roman" w:eastAsia="宋体"/>
      <w:sz w:val="21"/>
    </w:rPr>
  </w:style>
  <w:style w:type="paragraph" w:customStyle="1" w:styleId="98">
    <w:name w:val="标准文件_数字编号列项（二级）"/>
    <w:next w:val="26"/>
    <w:link w:val="99"/>
    <w:qFormat/>
    <w:uiPriority w:val="0"/>
    <w:pPr>
      <w:numPr>
        <w:ilvl w:val="1"/>
        <w:numId w:val="7"/>
      </w:numPr>
      <w:tabs>
        <w:tab w:val="left" w:pos="1277"/>
        <w:tab w:val="clear" w:pos="1276"/>
      </w:tabs>
      <w:jc w:val="both"/>
    </w:pPr>
    <w:rPr>
      <w:rFonts w:ascii="宋体" w:hAnsi="Times New Roman" w:eastAsia="宋体" w:cs="Times New Roman"/>
      <w:sz w:val="21"/>
      <w:szCs w:val="22"/>
      <w:lang w:val="en-US" w:eastAsia="zh-CN" w:bidi="ar-SA"/>
    </w:rPr>
  </w:style>
  <w:style w:type="character" w:customStyle="1" w:styleId="99">
    <w:name w:val="标准文件_数字编号列项（二级） 字符"/>
    <w:basedOn w:val="21"/>
    <w:link w:val="98"/>
    <w:qFormat/>
    <w:uiPriority w:val="0"/>
    <w:rPr>
      <w:rFonts w:ascii="宋体" w:hAnsi="Times New Roman" w:eastAsia="宋体" w:cs="Times New Roman"/>
      <w:sz w:val="21"/>
      <w:szCs w:val="22"/>
    </w:rPr>
  </w:style>
  <w:style w:type="paragraph" w:customStyle="1" w:styleId="100">
    <w:name w:val="标准文件_引言一级条标题"/>
    <w:basedOn w:val="26"/>
    <w:next w:val="26"/>
    <w:link w:val="101"/>
    <w:qFormat/>
    <w:uiPriority w:val="0"/>
    <w:pPr>
      <w:numPr>
        <w:ilvl w:val="1"/>
        <w:numId w:val="8"/>
      </w:numPr>
      <w:spacing w:beforeLines="50" w:afterLines="50"/>
    </w:pPr>
    <w:rPr>
      <w:rFonts w:ascii="黑体" w:hAnsi="黑体" w:eastAsia="黑体"/>
    </w:rPr>
  </w:style>
  <w:style w:type="character" w:customStyle="1" w:styleId="101">
    <w:name w:val="标准文件_引言一级条标题 字符"/>
    <w:basedOn w:val="21"/>
    <w:link w:val="100"/>
    <w:qFormat/>
    <w:uiPriority w:val="0"/>
    <w:rPr>
      <w:rFonts w:ascii="黑体" w:hAnsi="黑体" w:eastAsia="黑体"/>
      <w:sz w:val="21"/>
    </w:rPr>
  </w:style>
  <w:style w:type="paragraph" w:customStyle="1" w:styleId="102">
    <w:name w:val="标准文件_引言二级条标题"/>
    <w:basedOn w:val="26"/>
    <w:next w:val="26"/>
    <w:link w:val="103"/>
    <w:qFormat/>
    <w:uiPriority w:val="0"/>
    <w:pPr>
      <w:numPr>
        <w:ilvl w:val="2"/>
        <w:numId w:val="9"/>
      </w:numPr>
      <w:spacing w:beforeLines="50" w:afterLines="50"/>
    </w:pPr>
    <w:rPr>
      <w:rFonts w:ascii="黑体" w:hAnsi="黑体" w:eastAsia="黑体"/>
    </w:rPr>
  </w:style>
  <w:style w:type="character" w:customStyle="1" w:styleId="103">
    <w:name w:val="标准文件_引言二级条标题 字符"/>
    <w:basedOn w:val="21"/>
    <w:link w:val="102"/>
    <w:qFormat/>
    <w:uiPriority w:val="0"/>
    <w:rPr>
      <w:rFonts w:ascii="黑体" w:hAnsi="黑体" w:eastAsia="黑体"/>
      <w:sz w:val="21"/>
    </w:rPr>
  </w:style>
  <w:style w:type="paragraph" w:customStyle="1" w:styleId="104">
    <w:name w:val="标准文件_引言三级条标题"/>
    <w:basedOn w:val="26"/>
    <w:next w:val="26"/>
    <w:link w:val="105"/>
    <w:qFormat/>
    <w:uiPriority w:val="0"/>
    <w:pPr>
      <w:numPr>
        <w:ilvl w:val="3"/>
        <w:numId w:val="10"/>
      </w:numPr>
      <w:spacing w:beforeLines="50" w:afterLines="50"/>
    </w:pPr>
    <w:rPr>
      <w:rFonts w:ascii="黑体" w:hAnsi="黑体" w:eastAsia="黑体"/>
    </w:rPr>
  </w:style>
  <w:style w:type="character" w:customStyle="1" w:styleId="105">
    <w:name w:val="标准文件_引言三级条标题 字符"/>
    <w:basedOn w:val="21"/>
    <w:link w:val="104"/>
    <w:qFormat/>
    <w:uiPriority w:val="0"/>
    <w:rPr>
      <w:rFonts w:ascii="黑体" w:hAnsi="黑体" w:eastAsia="黑体"/>
      <w:sz w:val="21"/>
    </w:rPr>
  </w:style>
  <w:style w:type="paragraph" w:customStyle="1" w:styleId="106">
    <w:name w:val="标准文件_引言四级条标题"/>
    <w:basedOn w:val="26"/>
    <w:next w:val="26"/>
    <w:link w:val="107"/>
    <w:qFormat/>
    <w:uiPriority w:val="0"/>
    <w:pPr>
      <w:numPr>
        <w:ilvl w:val="4"/>
        <w:numId w:val="11"/>
      </w:numPr>
      <w:spacing w:beforeLines="50" w:afterLines="50"/>
    </w:pPr>
    <w:rPr>
      <w:rFonts w:ascii="黑体" w:hAnsi="黑体" w:eastAsia="黑体"/>
    </w:rPr>
  </w:style>
  <w:style w:type="character" w:customStyle="1" w:styleId="107">
    <w:name w:val="标准文件_引言四级条标题 字符"/>
    <w:basedOn w:val="21"/>
    <w:link w:val="106"/>
    <w:qFormat/>
    <w:uiPriority w:val="0"/>
    <w:rPr>
      <w:rFonts w:ascii="黑体" w:hAnsi="黑体" w:eastAsia="黑体"/>
      <w:sz w:val="21"/>
    </w:rPr>
  </w:style>
  <w:style w:type="paragraph" w:customStyle="1" w:styleId="108">
    <w:name w:val="标准文件_引言五级条标题"/>
    <w:basedOn w:val="26"/>
    <w:next w:val="26"/>
    <w:link w:val="109"/>
    <w:qFormat/>
    <w:uiPriority w:val="0"/>
    <w:pPr>
      <w:numPr>
        <w:ilvl w:val="5"/>
        <w:numId w:val="12"/>
      </w:numPr>
      <w:spacing w:beforeLines="50" w:afterLines="50"/>
    </w:pPr>
    <w:rPr>
      <w:rFonts w:ascii="黑体" w:hAnsi="黑体" w:eastAsia="黑体"/>
    </w:rPr>
  </w:style>
  <w:style w:type="character" w:customStyle="1" w:styleId="109">
    <w:name w:val="标准文件_引言五级条标题 字符"/>
    <w:basedOn w:val="21"/>
    <w:link w:val="108"/>
    <w:qFormat/>
    <w:uiPriority w:val="0"/>
    <w:rPr>
      <w:rFonts w:ascii="黑体" w:hAnsi="黑体" w:eastAsia="黑体"/>
      <w:sz w:val="21"/>
    </w:rPr>
  </w:style>
  <w:style w:type="paragraph" w:customStyle="1" w:styleId="110">
    <w:name w:val="标准文件_引言一级无标题"/>
    <w:basedOn w:val="100"/>
    <w:next w:val="26"/>
    <w:link w:val="111"/>
    <w:qFormat/>
    <w:uiPriority w:val="0"/>
    <w:pPr>
      <w:spacing w:beforeLines="0" w:afterLines="0" w:line="276" w:lineRule="auto"/>
      <w:ind w:firstLineChars="0"/>
    </w:pPr>
    <w:rPr>
      <w:rFonts w:ascii="宋体" w:hAnsi="宋体" w:eastAsia="宋体"/>
    </w:rPr>
  </w:style>
  <w:style w:type="character" w:customStyle="1" w:styleId="111">
    <w:name w:val="标准文件_引言一级无标题 字符"/>
    <w:basedOn w:val="21"/>
    <w:link w:val="110"/>
    <w:qFormat/>
    <w:uiPriority w:val="0"/>
    <w:rPr>
      <w:rFonts w:ascii="宋体" w:hAnsi="宋体" w:eastAsia="宋体"/>
      <w:sz w:val="21"/>
    </w:rPr>
  </w:style>
  <w:style w:type="paragraph" w:customStyle="1" w:styleId="112">
    <w:name w:val="标准文件_引言二级无标题"/>
    <w:basedOn w:val="102"/>
    <w:next w:val="26"/>
    <w:link w:val="113"/>
    <w:qFormat/>
    <w:uiPriority w:val="0"/>
    <w:pPr>
      <w:spacing w:beforeLines="0" w:afterLines="0" w:line="276" w:lineRule="auto"/>
      <w:ind w:firstLineChars="0"/>
    </w:pPr>
    <w:rPr>
      <w:rFonts w:ascii="宋体" w:hAnsi="宋体" w:eastAsia="宋体"/>
    </w:rPr>
  </w:style>
  <w:style w:type="character" w:customStyle="1" w:styleId="113">
    <w:name w:val="标准文件_引言二级无标题 字符"/>
    <w:basedOn w:val="21"/>
    <w:link w:val="112"/>
    <w:qFormat/>
    <w:uiPriority w:val="0"/>
    <w:rPr>
      <w:rFonts w:ascii="宋体" w:hAnsi="宋体" w:eastAsia="宋体"/>
      <w:sz w:val="21"/>
    </w:rPr>
  </w:style>
  <w:style w:type="paragraph" w:customStyle="1" w:styleId="114">
    <w:name w:val="标准文件_引言三级无标题"/>
    <w:basedOn w:val="104"/>
    <w:next w:val="26"/>
    <w:link w:val="115"/>
    <w:qFormat/>
    <w:uiPriority w:val="0"/>
    <w:pPr>
      <w:spacing w:beforeLines="0" w:afterLines="0" w:line="276" w:lineRule="auto"/>
      <w:ind w:firstLineChars="0"/>
    </w:pPr>
    <w:rPr>
      <w:rFonts w:ascii="宋体" w:hAnsi="宋体" w:eastAsia="宋体"/>
    </w:rPr>
  </w:style>
  <w:style w:type="character" w:customStyle="1" w:styleId="115">
    <w:name w:val="标准文件_引言三级无标题 字符"/>
    <w:basedOn w:val="21"/>
    <w:link w:val="114"/>
    <w:qFormat/>
    <w:uiPriority w:val="0"/>
    <w:rPr>
      <w:rFonts w:ascii="宋体" w:hAnsi="宋体" w:eastAsia="宋体"/>
      <w:sz w:val="21"/>
    </w:rPr>
  </w:style>
  <w:style w:type="paragraph" w:customStyle="1" w:styleId="116">
    <w:name w:val="标准文件_引言四级无标题"/>
    <w:basedOn w:val="106"/>
    <w:next w:val="26"/>
    <w:link w:val="117"/>
    <w:qFormat/>
    <w:uiPriority w:val="0"/>
    <w:pPr>
      <w:spacing w:beforeLines="0" w:afterLines="0" w:line="276" w:lineRule="auto"/>
      <w:ind w:firstLineChars="0"/>
    </w:pPr>
    <w:rPr>
      <w:rFonts w:ascii="宋体" w:hAnsi="宋体" w:eastAsia="宋体"/>
    </w:rPr>
  </w:style>
  <w:style w:type="character" w:customStyle="1" w:styleId="117">
    <w:name w:val="标准文件_引言四级无标题 字符"/>
    <w:basedOn w:val="21"/>
    <w:link w:val="116"/>
    <w:qFormat/>
    <w:uiPriority w:val="0"/>
    <w:rPr>
      <w:rFonts w:ascii="宋体" w:hAnsi="宋体" w:eastAsia="宋体"/>
      <w:sz w:val="21"/>
    </w:rPr>
  </w:style>
  <w:style w:type="paragraph" w:customStyle="1" w:styleId="118">
    <w:name w:val="标准文件_引言五级无标题"/>
    <w:basedOn w:val="108"/>
    <w:next w:val="26"/>
    <w:link w:val="119"/>
    <w:qFormat/>
    <w:uiPriority w:val="0"/>
    <w:pPr>
      <w:spacing w:beforeLines="0" w:afterLines="0" w:line="276" w:lineRule="auto"/>
      <w:ind w:firstLineChars="0"/>
    </w:pPr>
    <w:rPr>
      <w:rFonts w:ascii="宋体" w:hAnsi="宋体" w:eastAsia="宋体"/>
    </w:rPr>
  </w:style>
  <w:style w:type="character" w:customStyle="1" w:styleId="119">
    <w:name w:val="标准文件_引言五级无标题 字符"/>
    <w:basedOn w:val="21"/>
    <w:link w:val="118"/>
    <w:qFormat/>
    <w:uiPriority w:val="0"/>
    <w:rPr>
      <w:rFonts w:ascii="宋体" w:hAnsi="宋体" w:eastAsia="宋体"/>
      <w:sz w:val="21"/>
    </w:rPr>
  </w:style>
  <w:style w:type="paragraph" w:customStyle="1" w:styleId="120">
    <w:name w:val="标准文件_章标题"/>
    <w:next w:val="26"/>
    <w:link w:val="121"/>
    <w:qFormat/>
    <w:uiPriority w:val="0"/>
    <w:pPr>
      <w:numPr>
        <w:ilvl w:val="0"/>
        <w:numId w:val="13"/>
      </w:numPr>
      <w:spacing w:beforeLines="100" w:afterLines="100"/>
      <w:jc w:val="both"/>
      <w:outlineLvl w:val="0"/>
    </w:pPr>
    <w:rPr>
      <w:rFonts w:ascii="黑体" w:hAnsi="Times New Roman" w:eastAsia="黑体" w:cstheme="minorBidi"/>
      <w:sz w:val="21"/>
      <w:lang w:val="en-US" w:eastAsia="zh-CN" w:bidi="ar-SA"/>
    </w:rPr>
  </w:style>
  <w:style w:type="character" w:customStyle="1" w:styleId="121">
    <w:name w:val="标准文件_章标题 字符"/>
    <w:basedOn w:val="21"/>
    <w:link w:val="120"/>
    <w:qFormat/>
    <w:uiPriority w:val="0"/>
    <w:rPr>
      <w:rFonts w:ascii="黑体" w:hAnsi="Times New Roman" w:eastAsia="黑体"/>
      <w:sz w:val="21"/>
    </w:rPr>
  </w:style>
  <w:style w:type="paragraph" w:customStyle="1" w:styleId="122">
    <w:name w:val="标准文件_一级条标题"/>
    <w:basedOn w:val="120"/>
    <w:next w:val="26"/>
    <w:link w:val="123"/>
    <w:qFormat/>
    <w:uiPriority w:val="0"/>
    <w:pPr>
      <w:numPr>
        <w:ilvl w:val="1"/>
      </w:numPr>
      <w:spacing w:beforeLines="50" w:afterLines="50"/>
      <w:outlineLvl w:val="1"/>
    </w:pPr>
  </w:style>
  <w:style w:type="character" w:customStyle="1" w:styleId="123">
    <w:name w:val="标准文件_一级条标题 字符"/>
    <w:basedOn w:val="21"/>
    <w:link w:val="122"/>
    <w:qFormat/>
    <w:uiPriority w:val="0"/>
    <w:rPr>
      <w:rFonts w:ascii="黑体" w:hAnsi="Times New Roman" w:eastAsia="黑体"/>
      <w:sz w:val="21"/>
    </w:rPr>
  </w:style>
  <w:style w:type="paragraph" w:customStyle="1" w:styleId="124">
    <w:name w:val="标准文件_二级条标题"/>
    <w:next w:val="26"/>
    <w:link w:val="125"/>
    <w:qFormat/>
    <w:uiPriority w:val="0"/>
    <w:pPr>
      <w:numPr>
        <w:ilvl w:val="2"/>
        <w:numId w:val="13"/>
      </w:numPr>
      <w:spacing w:beforeLines="50" w:afterLines="50"/>
      <w:jc w:val="both"/>
      <w:outlineLvl w:val="2"/>
    </w:pPr>
    <w:rPr>
      <w:rFonts w:ascii="黑体" w:hAnsi="黑体" w:eastAsia="黑体" w:cstheme="minorBidi"/>
      <w:sz w:val="21"/>
      <w:lang w:val="en-US" w:eastAsia="zh-CN" w:bidi="ar-SA"/>
    </w:rPr>
  </w:style>
  <w:style w:type="character" w:customStyle="1" w:styleId="125">
    <w:name w:val="标准文件_二级条标题 字符"/>
    <w:basedOn w:val="21"/>
    <w:link w:val="124"/>
    <w:qFormat/>
    <w:uiPriority w:val="0"/>
    <w:rPr>
      <w:rFonts w:ascii="黑体" w:hAnsi="黑体" w:eastAsia="黑体"/>
      <w:sz w:val="21"/>
    </w:rPr>
  </w:style>
  <w:style w:type="paragraph" w:customStyle="1" w:styleId="126">
    <w:name w:val="标准文件_三级条标题"/>
    <w:basedOn w:val="124"/>
    <w:next w:val="26"/>
    <w:link w:val="127"/>
    <w:qFormat/>
    <w:uiPriority w:val="0"/>
    <w:pPr>
      <w:numPr>
        <w:ilvl w:val="3"/>
      </w:numPr>
      <w:outlineLvl w:val="3"/>
    </w:pPr>
  </w:style>
  <w:style w:type="character" w:customStyle="1" w:styleId="127">
    <w:name w:val="标准文件_三级条标题 字符"/>
    <w:basedOn w:val="21"/>
    <w:link w:val="126"/>
    <w:qFormat/>
    <w:uiPriority w:val="0"/>
    <w:rPr>
      <w:rFonts w:ascii="黑体" w:hAnsi="黑体" w:eastAsia="黑体"/>
      <w:sz w:val="21"/>
    </w:rPr>
  </w:style>
  <w:style w:type="paragraph" w:customStyle="1" w:styleId="128">
    <w:name w:val="标准文件_四级条标题"/>
    <w:next w:val="26"/>
    <w:link w:val="129"/>
    <w:qFormat/>
    <w:uiPriority w:val="0"/>
    <w:pPr>
      <w:numPr>
        <w:ilvl w:val="4"/>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9">
    <w:name w:val="标准文件_四级条标题 字符"/>
    <w:basedOn w:val="21"/>
    <w:link w:val="128"/>
    <w:qFormat/>
    <w:uiPriority w:val="0"/>
    <w:rPr>
      <w:rFonts w:ascii="黑体" w:hAnsi="黑体" w:eastAsia="黑体"/>
      <w:kern w:val="2"/>
      <w:sz w:val="21"/>
      <w:szCs w:val="22"/>
    </w:rPr>
  </w:style>
  <w:style w:type="paragraph" w:customStyle="1" w:styleId="130">
    <w:name w:val="标准文件_五级条标题"/>
    <w:next w:val="26"/>
    <w:link w:val="131"/>
    <w:qFormat/>
    <w:uiPriority w:val="0"/>
    <w:pPr>
      <w:numPr>
        <w:ilvl w:val="5"/>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31">
    <w:name w:val="标准文件_五级条标题 字符"/>
    <w:basedOn w:val="21"/>
    <w:link w:val="130"/>
    <w:qFormat/>
    <w:uiPriority w:val="0"/>
    <w:rPr>
      <w:rFonts w:ascii="黑体" w:hAnsi="黑体" w:eastAsia="黑体"/>
      <w:kern w:val="2"/>
      <w:sz w:val="21"/>
      <w:szCs w:val="22"/>
    </w:rPr>
  </w:style>
  <w:style w:type="paragraph" w:customStyle="1" w:styleId="132">
    <w:name w:val="标准文件_一级无标题"/>
    <w:basedOn w:val="122"/>
    <w:link w:val="133"/>
    <w:qFormat/>
    <w:uiPriority w:val="0"/>
    <w:pPr>
      <w:spacing w:beforeLines="0" w:afterLines="0"/>
      <w:outlineLvl w:val="9"/>
    </w:pPr>
    <w:rPr>
      <w:rFonts w:ascii="宋体" w:hAnsi="宋体" w:eastAsia="宋体"/>
      <w:kern w:val="2"/>
      <w:szCs w:val="22"/>
    </w:rPr>
  </w:style>
  <w:style w:type="character" w:customStyle="1" w:styleId="133">
    <w:name w:val="标准文件_一级无标题 字符"/>
    <w:basedOn w:val="21"/>
    <w:link w:val="132"/>
    <w:qFormat/>
    <w:uiPriority w:val="0"/>
    <w:rPr>
      <w:rFonts w:ascii="宋体" w:hAnsi="宋体" w:eastAsia="宋体"/>
      <w:kern w:val="2"/>
      <w:sz w:val="21"/>
      <w:szCs w:val="22"/>
    </w:rPr>
  </w:style>
  <w:style w:type="paragraph" w:customStyle="1" w:styleId="134">
    <w:name w:val="标准文件_二级无标题"/>
    <w:basedOn w:val="124"/>
    <w:link w:val="135"/>
    <w:qFormat/>
    <w:uiPriority w:val="0"/>
    <w:pPr>
      <w:spacing w:beforeLines="0" w:afterLines="0"/>
      <w:outlineLvl w:val="9"/>
    </w:pPr>
    <w:rPr>
      <w:rFonts w:ascii="宋体" w:hAnsi="宋体" w:eastAsia="宋体"/>
      <w:kern w:val="2"/>
      <w:szCs w:val="22"/>
    </w:rPr>
  </w:style>
  <w:style w:type="character" w:customStyle="1" w:styleId="135">
    <w:name w:val="标准文件_二级无标题 字符"/>
    <w:basedOn w:val="21"/>
    <w:link w:val="134"/>
    <w:qFormat/>
    <w:uiPriority w:val="0"/>
    <w:rPr>
      <w:rFonts w:ascii="宋体" w:hAnsi="宋体" w:eastAsia="宋体"/>
      <w:kern w:val="2"/>
      <w:sz w:val="21"/>
      <w:szCs w:val="22"/>
    </w:rPr>
  </w:style>
  <w:style w:type="paragraph" w:customStyle="1" w:styleId="136">
    <w:name w:val="标准文件_三级无标题"/>
    <w:basedOn w:val="126"/>
    <w:link w:val="137"/>
    <w:qFormat/>
    <w:uiPriority w:val="0"/>
    <w:pPr>
      <w:spacing w:beforeLines="0" w:afterLines="0"/>
      <w:outlineLvl w:val="9"/>
    </w:pPr>
    <w:rPr>
      <w:rFonts w:ascii="宋体" w:hAnsi="宋体" w:eastAsia="宋体"/>
    </w:rPr>
  </w:style>
  <w:style w:type="character" w:customStyle="1" w:styleId="137">
    <w:name w:val="标准文件_三级无标题 字符"/>
    <w:basedOn w:val="21"/>
    <w:link w:val="136"/>
    <w:qFormat/>
    <w:uiPriority w:val="0"/>
    <w:rPr>
      <w:rFonts w:ascii="宋体" w:hAnsi="宋体" w:eastAsia="宋体"/>
      <w:sz w:val="21"/>
    </w:rPr>
  </w:style>
  <w:style w:type="paragraph" w:customStyle="1" w:styleId="138">
    <w:name w:val="标准文件_四级无标题"/>
    <w:basedOn w:val="128"/>
    <w:link w:val="139"/>
    <w:qFormat/>
    <w:uiPriority w:val="0"/>
    <w:pPr>
      <w:spacing w:beforeLines="0" w:afterLines="0"/>
      <w:outlineLvl w:val="9"/>
    </w:pPr>
    <w:rPr>
      <w:rFonts w:ascii="宋体" w:hAnsi="宋体" w:eastAsia="宋体"/>
    </w:rPr>
  </w:style>
  <w:style w:type="character" w:customStyle="1" w:styleId="139">
    <w:name w:val="标准文件_四级无标题 字符"/>
    <w:basedOn w:val="21"/>
    <w:link w:val="138"/>
    <w:qFormat/>
    <w:uiPriority w:val="0"/>
    <w:rPr>
      <w:rFonts w:ascii="宋体" w:hAnsi="宋体" w:eastAsia="宋体"/>
      <w:kern w:val="2"/>
      <w:sz w:val="21"/>
      <w:szCs w:val="22"/>
    </w:rPr>
  </w:style>
  <w:style w:type="paragraph" w:customStyle="1" w:styleId="140">
    <w:name w:val="标准文件_五级无标题"/>
    <w:basedOn w:val="130"/>
    <w:link w:val="141"/>
    <w:qFormat/>
    <w:uiPriority w:val="0"/>
    <w:pPr>
      <w:spacing w:beforeLines="0" w:afterLines="0"/>
      <w:outlineLvl w:val="9"/>
    </w:pPr>
    <w:rPr>
      <w:rFonts w:ascii="宋体" w:hAnsi="宋体" w:eastAsia="宋体"/>
    </w:rPr>
  </w:style>
  <w:style w:type="character" w:customStyle="1" w:styleId="141">
    <w:name w:val="标准文件_五级无标题 字符"/>
    <w:basedOn w:val="21"/>
    <w:link w:val="140"/>
    <w:qFormat/>
    <w:uiPriority w:val="0"/>
    <w:rPr>
      <w:rFonts w:ascii="宋体" w:hAnsi="宋体" w:eastAsia="宋体"/>
      <w:kern w:val="2"/>
      <w:sz w:val="21"/>
      <w:szCs w:val="22"/>
    </w:rPr>
  </w:style>
  <w:style w:type="paragraph" w:customStyle="1" w:styleId="142">
    <w:name w:val="标准文件_术语条一"/>
    <w:basedOn w:val="132"/>
    <w:next w:val="26"/>
    <w:link w:val="143"/>
    <w:qFormat/>
    <w:uiPriority w:val="0"/>
    <w:pPr>
      <w:ind w:hanging="200" w:hangingChars="200"/>
    </w:pPr>
    <w:rPr>
      <w:rFonts w:ascii="黑体" w:hAnsi="黑体" w:eastAsia="黑体"/>
    </w:rPr>
  </w:style>
  <w:style w:type="character" w:customStyle="1" w:styleId="143">
    <w:name w:val="标准文件_术语条一 字符"/>
    <w:basedOn w:val="21"/>
    <w:link w:val="142"/>
    <w:qFormat/>
    <w:uiPriority w:val="0"/>
    <w:rPr>
      <w:rFonts w:ascii="黑体" w:hAnsi="黑体" w:eastAsia="黑体"/>
      <w:kern w:val="2"/>
      <w:sz w:val="21"/>
      <w:szCs w:val="22"/>
    </w:rPr>
  </w:style>
  <w:style w:type="paragraph" w:customStyle="1" w:styleId="144">
    <w:name w:val="标准文件_术语条二"/>
    <w:basedOn w:val="134"/>
    <w:next w:val="26"/>
    <w:link w:val="145"/>
    <w:qFormat/>
    <w:uiPriority w:val="0"/>
    <w:pPr>
      <w:ind w:hanging="200" w:hangingChars="200"/>
    </w:pPr>
    <w:rPr>
      <w:rFonts w:ascii="黑体" w:hAnsi="黑体" w:eastAsia="黑体"/>
    </w:rPr>
  </w:style>
  <w:style w:type="character" w:customStyle="1" w:styleId="145">
    <w:name w:val="标准文件_术语条二 字符"/>
    <w:basedOn w:val="21"/>
    <w:link w:val="144"/>
    <w:qFormat/>
    <w:uiPriority w:val="0"/>
    <w:rPr>
      <w:rFonts w:ascii="黑体" w:hAnsi="黑体" w:eastAsia="黑体"/>
      <w:kern w:val="2"/>
      <w:sz w:val="21"/>
      <w:szCs w:val="22"/>
    </w:rPr>
  </w:style>
  <w:style w:type="paragraph" w:customStyle="1" w:styleId="146">
    <w:name w:val="标准文件_术语条三"/>
    <w:basedOn w:val="136"/>
    <w:next w:val="26"/>
    <w:link w:val="147"/>
    <w:qFormat/>
    <w:uiPriority w:val="0"/>
    <w:pPr>
      <w:ind w:hanging="200" w:hangingChars="200"/>
    </w:pPr>
    <w:rPr>
      <w:rFonts w:ascii="黑体" w:hAnsi="黑体" w:eastAsia="黑体"/>
    </w:rPr>
  </w:style>
  <w:style w:type="character" w:customStyle="1" w:styleId="147">
    <w:name w:val="标准文件_术语条三 字符"/>
    <w:basedOn w:val="21"/>
    <w:link w:val="146"/>
    <w:qFormat/>
    <w:uiPriority w:val="0"/>
    <w:rPr>
      <w:rFonts w:ascii="黑体" w:hAnsi="黑体" w:eastAsia="黑体"/>
      <w:sz w:val="21"/>
    </w:rPr>
  </w:style>
  <w:style w:type="paragraph" w:customStyle="1" w:styleId="148">
    <w:name w:val="标准文件_术语条四"/>
    <w:basedOn w:val="138"/>
    <w:next w:val="26"/>
    <w:link w:val="149"/>
    <w:qFormat/>
    <w:uiPriority w:val="0"/>
    <w:pPr>
      <w:ind w:hanging="200" w:hangingChars="200"/>
    </w:pPr>
    <w:rPr>
      <w:rFonts w:ascii="黑体" w:hAnsi="黑体" w:eastAsia="黑体"/>
    </w:rPr>
  </w:style>
  <w:style w:type="character" w:customStyle="1" w:styleId="149">
    <w:name w:val="标准文件_术语条四 字符"/>
    <w:basedOn w:val="21"/>
    <w:link w:val="148"/>
    <w:qFormat/>
    <w:uiPriority w:val="0"/>
    <w:rPr>
      <w:rFonts w:ascii="黑体" w:hAnsi="黑体" w:eastAsia="黑体"/>
      <w:kern w:val="2"/>
      <w:sz w:val="21"/>
      <w:szCs w:val="22"/>
    </w:rPr>
  </w:style>
  <w:style w:type="paragraph" w:customStyle="1" w:styleId="150">
    <w:name w:val="标准文件_术语条五"/>
    <w:basedOn w:val="140"/>
    <w:next w:val="26"/>
    <w:link w:val="151"/>
    <w:qFormat/>
    <w:uiPriority w:val="0"/>
    <w:pPr>
      <w:ind w:hanging="200" w:hangingChars="200"/>
    </w:pPr>
    <w:rPr>
      <w:rFonts w:ascii="黑体" w:hAnsi="黑体" w:eastAsia="黑体"/>
    </w:rPr>
  </w:style>
  <w:style w:type="character" w:customStyle="1" w:styleId="151">
    <w:name w:val="标准文件_术语条五 字符"/>
    <w:basedOn w:val="21"/>
    <w:link w:val="150"/>
    <w:qFormat/>
    <w:uiPriority w:val="0"/>
    <w:rPr>
      <w:rFonts w:ascii="黑体" w:hAnsi="黑体" w:eastAsia="黑体"/>
      <w:kern w:val="2"/>
      <w:sz w:val="21"/>
      <w:szCs w:val="22"/>
    </w:rPr>
  </w:style>
  <w:style w:type="paragraph" w:customStyle="1" w:styleId="152">
    <w:name w:val="标准文件_附录标识"/>
    <w:basedOn w:val="1"/>
    <w:next w:val="26"/>
    <w:link w:val="153"/>
    <w:qFormat/>
    <w:uiPriority w:val="0"/>
    <w:pPr>
      <w:widowControl/>
      <w:numPr>
        <w:ilvl w:val="0"/>
        <w:numId w:val="14"/>
      </w:numPr>
      <w:spacing w:beforeLines="25" w:afterLines="50"/>
      <w:jc w:val="center"/>
      <w:outlineLvl w:val="0"/>
    </w:pPr>
    <w:rPr>
      <w:rFonts w:ascii="黑体" w:hAnsi="黑体" w:eastAsia="黑体"/>
    </w:rPr>
  </w:style>
  <w:style w:type="character" w:customStyle="1" w:styleId="153">
    <w:name w:val="标准文件_附录标识 字符"/>
    <w:basedOn w:val="21"/>
    <w:link w:val="152"/>
    <w:qFormat/>
    <w:uiPriority w:val="0"/>
    <w:rPr>
      <w:rFonts w:ascii="黑体" w:hAnsi="黑体" w:eastAsia="黑体"/>
      <w:kern w:val="2"/>
      <w:sz w:val="21"/>
      <w:szCs w:val="22"/>
    </w:rPr>
  </w:style>
  <w:style w:type="character" w:customStyle="1" w:styleId="154">
    <w:name w:val="标题 2 Char"/>
    <w:basedOn w:val="21"/>
    <w:link w:val="3"/>
    <w:semiHidden/>
    <w:qFormat/>
    <w:uiPriority w:val="9"/>
    <w:rPr>
      <w:rFonts w:asciiTheme="majorHAnsi" w:hAnsiTheme="majorHAnsi" w:eastAsiaTheme="majorEastAsia" w:cstheme="majorBidi"/>
      <w:b/>
      <w:bCs/>
      <w:kern w:val="2"/>
      <w:sz w:val="32"/>
      <w:szCs w:val="32"/>
    </w:rPr>
  </w:style>
  <w:style w:type="character" w:customStyle="1" w:styleId="155">
    <w:name w:val="标题 3 Char"/>
    <w:basedOn w:val="21"/>
    <w:link w:val="4"/>
    <w:semiHidden/>
    <w:qFormat/>
    <w:uiPriority w:val="9"/>
    <w:rPr>
      <w:rFonts w:ascii="宋体" w:hAnsi="Times New Roman" w:eastAsia="宋体"/>
      <w:b/>
      <w:bCs/>
      <w:kern w:val="2"/>
      <w:sz w:val="32"/>
      <w:szCs w:val="32"/>
    </w:rPr>
  </w:style>
  <w:style w:type="character" w:customStyle="1" w:styleId="156">
    <w:name w:val="标题 4 Char"/>
    <w:basedOn w:val="21"/>
    <w:link w:val="5"/>
    <w:semiHidden/>
    <w:qFormat/>
    <w:uiPriority w:val="9"/>
    <w:rPr>
      <w:rFonts w:asciiTheme="majorHAnsi" w:hAnsiTheme="majorHAnsi" w:eastAsiaTheme="majorEastAsia" w:cstheme="majorBidi"/>
      <w:b/>
      <w:bCs/>
      <w:kern w:val="2"/>
      <w:sz w:val="28"/>
      <w:szCs w:val="28"/>
    </w:rPr>
  </w:style>
  <w:style w:type="character" w:customStyle="1" w:styleId="157">
    <w:name w:val="标题 5 Char"/>
    <w:basedOn w:val="21"/>
    <w:link w:val="6"/>
    <w:semiHidden/>
    <w:qFormat/>
    <w:uiPriority w:val="9"/>
    <w:rPr>
      <w:rFonts w:ascii="宋体" w:hAnsi="Times New Roman" w:eastAsia="宋体"/>
      <w:b/>
      <w:bCs/>
      <w:kern w:val="2"/>
      <w:sz w:val="28"/>
      <w:szCs w:val="28"/>
    </w:rPr>
  </w:style>
  <w:style w:type="character" w:customStyle="1" w:styleId="158">
    <w:name w:val="标题 6 Char"/>
    <w:basedOn w:val="21"/>
    <w:link w:val="7"/>
    <w:semiHidden/>
    <w:qFormat/>
    <w:uiPriority w:val="9"/>
    <w:rPr>
      <w:rFonts w:asciiTheme="majorHAnsi" w:hAnsiTheme="majorHAnsi" w:eastAsiaTheme="majorEastAsia" w:cstheme="majorBidi"/>
      <w:b/>
      <w:bCs/>
      <w:kern w:val="2"/>
      <w:sz w:val="24"/>
      <w:szCs w:val="24"/>
    </w:rPr>
  </w:style>
  <w:style w:type="character" w:customStyle="1" w:styleId="159">
    <w:name w:val="标题 7 Char"/>
    <w:basedOn w:val="21"/>
    <w:link w:val="8"/>
    <w:semiHidden/>
    <w:qFormat/>
    <w:uiPriority w:val="9"/>
    <w:rPr>
      <w:rFonts w:ascii="宋体" w:hAnsi="Times New Roman" w:eastAsia="宋体"/>
      <w:b/>
      <w:bCs/>
      <w:kern w:val="2"/>
      <w:sz w:val="24"/>
      <w:szCs w:val="24"/>
    </w:rPr>
  </w:style>
  <w:style w:type="character" w:customStyle="1" w:styleId="160">
    <w:name w:val="标题 8 Char"/>
    <w:basedOn w:val="21"/>
    <w:link w:val="9"/>
    <w:semiHidden/>
    <w:qFormat/>
    <w:uiPriority w:val="9"/>
    <w:rPr>
      <w:rFonts w:asciiTheme="majorHAnsi" w:hAnsiTheme="majorHAnsi" w:eastAsiaTheme="majorEastAsia" w:cstheme="majorBidi"/>
      <w:kern w:val="2"/>
      <w:sz w:val="24"/>
      <w:szCs w:val="24"/>
    </w:rPr>
  </w:style>
  <w:style w:type="character" w:customStyle="1" w:styleId="161">
    <w:name w:val="标题 9 Char"/>
    <w:basedOn w:val="21"/>
    <w:link w:val="10"/>
    <w:semiHidden/>
    <w:qFormat/>
    <w:uiPriority w:val="9"/>
    <w:rPr>
      <w:rFonts w:asciiTheme="majorHAnsi" w:hAnsiTheme="majorHAnsi" w:eastAsiaTheme="majorEastAsia" w:cstheme="majorBidi"/>
      <w:kern w:val="2"/>
      <w:sz w:val="21"/>
      <w:szCs w:val="21"/>
    </w:rPr>
  </w:style>
  <w:style w:type="paragraph" w:customStyle="1" w:styleId="162">
    <w:name w:val="标准文件_附录一级条标题"/>
    <w:next w:val="26"/>
    <w:link w:val="163"/>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3">
    <w:name w:val="标准文件_附录一级条标题 字符"/>
    <w:basedOn w:val="21"/>
    <w:link w:val="162"/>
    <w:qFormat/>
    <w:uiPriority w:val="0"/>
    <w:rPr>
      <w:rFonts w:ascii="黑体" w:hAnsi="黑体" w:eastAsia="黑体"/>
    </w:rPr>
  </w:style>
  <w:style w:type="paragraph" w:customStyle="1" w:styleId="164">
    <w:name w:val="标准文件_附录二级条标题"/>
    <w:next w:val="26"/>
    <w:link w:val="165"/>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5">
    <w:name w:val="标准文件_附录二级条标题 字符"/>
    <w:basedOn w:val="21"/>
    <w:link w:val="164"/>
    <w:qFormat/>
    <w:uiPriority w:val="0"/>
    <w:rPr>
      <w:rFonts w:ascii="黑体" w:hAnsi="黑体" w:eastAsia="黑体"/>
    </w:rPr>
  </w:style>
  <w:style w:type="paragraph" w:customStyle="1" w:styleId="166">
    <w:name w:val="标准文件_附录三级条标题"/>
    <w:next w:val="26"/>
    <w:link w:val="167"/>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7">
    <w:name w:val="标准文件_附录三级条标题 字符"/>
    <w:basedOn w:val="21"/>
    <w:link w:val="166"/>
    <w:qFormat/>
    <w:uiPriority w:val="0"/>
    <w:rPr>
      <w:rFonts w:ascii="黑体" w:hAnsi="黑体" w:eastAsia="黑体"/>
    </w:rPr>
  </w:style>
  <w:style w:type="paragraph" w:customStyle="1" w:styleId="168">
    <w:name w:val="标准文件_附录四级条标题"/>
    <w:next w:val="26"/>
    <w:link w:val="169"/>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9">
    <w:name w:val="标准文件_附录四级条标题 字符"/>
    <w:basedOn w:val="21"/>
    <w:link w:val="168"/>
    <w:qFormat/>
    <w:uiPriority w:val="0"/>
    <w:rPr>
      <w:rFonts w:ascii="黑体" w:hAnsi="黑体" w:eastAsia="黑体"/>
    </w:rPr>
  </w:style>
  <w:style w:type="paragraph" w:customStyle="1" w:styleId="170">
    <w:name w:val="标准文件_附录五级条标题"/>
    <w:next w:val="26"/>
    <w:link w:val="171"/>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71">
    <w:name w:val="标准文件_附录五级条标题 字符"/>
    <w:basedOn w:val="21"/>
    <w:link w:val="170"/>
    <w:qFormat/>
    <w:uiPriority w:val="0"/>
    <w:rPr>
      <w:rFonts w:ascii="黑体" w:hAnsi="黑体" w:eastAsia="黑体"/>
    </w:rPr>
  </w:style>
  <w:style w:type="paragraph" w:customStyle="1" w:styleId="172">
    <w:name w:val="标准文件_附录一级无标题"/>
    <w:basedOn w:val="162"/>
    <w:link w:val="173"/>
    <w:qFormat/>
    <w:uiPriority w:val="0"/>
    <w:pPr>
      <w:spacing w:beforeLines="0" w:afterLines="0" w:line="276" w:lineRule="auto"/>
    </w:pPr>
    <w:rPr>
      <w:rFonts w:ascii="宋体" w:hAnsi="宋体" w:eastAsia="宋体"/>
    </w:rPr>
  </w:style>
  <w:style w:type="character" w:customStyle="1" w:styleId="173">
    <w:name w:val="标准文件_附录一级无标题 字符"/>
    <w:basedOn w:val="21"/>
    <w:link w:val="172"/>
    <w:qFormat/>
    <w:uiPriority w:val="0"/>
    <w:rPr>
      <w:rFonts w:ascii="宋体" w:hAnsi="宋体" w:eastAsia="宋体"/>
      <w:kern w:val="2"/>
      <w:sz w:val="21"/>
      <w:szCs w:val="22"/>
    </w:rPr>
  </w:style>
  <w:style w:type="paragraph" w:customStyle="1" w:styleId="174">
    <w:name w:val="标准文件_附录二级无标题"/>
    <w:basedOn w:val="164"/>
    <w:link w:val="175"/>
    <w:qFormat/>
    <w:uiPriority w:val="0"/>
    <w:pPr>
      <w:spacing w:beforeLines="0" w:afterLines="0" w:line="276" w:lineRule="auto"/>
    </w:pPr>
    <w:rPr>
      <w:rFonts w:ascii="宋体" w:hAnsi="宋体" w:eastAsia="宋体"/>
    </w:rPr>
  </w:style>
  <w:style w:type="character" w:customStyle="1" w:styleId="175">
    <w:name w:val="标准文件_附录二级无标题 字符"/>
    <w:basedOn w:val="21"/>
    <w:link w:val="174"/>
    <w:qFormat/>
    <w:uiPriority w:val="0"/>
    <w:rPr>
      <w:rFonts w:ascii="宋体" w:hAnsi="宋体" w:eastAsia="宋体"/>
      <w:kern w:val="2"/>
      <w:sz w:val="21"/>
      <w:szCs w:val="22"/>
    </w:rPr>
  </w:style>
  <w:style w:type="paragraph" w:customStyle="1" w:styleId="176">
    <w:name w:val="标准文件_附录三级无标题"/>
    <w:basedOn w:val="166"/>
    <w:link w:val="177"/>
    <w:qFormat/>
    <w:uiPriority w:val="0"/>
    <w:pPr>
      <w:spacing w:beforeLines="0" w:afterLines="0" w:line="276" w:lineRule="auto"/>
    </w:pPr>
    <w:rPr>
      <w:rFonts w:ascii="宋体" w:hAnsi="宋体" w:eastAsia="宋体"/>
    </w:rPr>
  </w:style>
  <w:style w:type="character" w:customStyle="1" w:styleId="177">
    <w:name w:val="标准文件_附录三级无标题 字符"/>
    <w:basedOn w:val="21"/>
    <w:link w:val="176"/>
    <w:qFormat/>
    <w:uiPriority w:val="0"/>
    <w:rPr>
      <w:rFonts w:ascii="宋体" w:hAnsi="宋体" w:eastAsia="宋体"/>
      <w:kern w:val="2"/>
      <w:sz w:val="21"/>
      <w:szCs w:val="22"/>
    </w:rPr>
  </w:style>
  <w:style w:type="paragraph" w:customStyle="1" w:styleId="178">
    <w:name w:val="标准文件_附录四级无标题"/>
    <w:basedOn w:val="168"/>
    <w:link w:val="179"/>
    <w:qFormat/>
    <w:uiPriority w:val="0"/>
    <w:pPr>
      <w:spacing w:beforeLines="0" w:afterLines="0" w:line="276" w:lineRule="auto"/>
    </w:pPr>
    <w:rPr>
      <w:rFonts w:ascii="宋体" w:hAnsi="宋体" w:eastAsia="宋体"/>
    </w:rPr>
  </w:style>
  <w:style w:type="character" w:customStyle="1" w:styleId="179">
    <w:name w:val="标准文件_附录四级无标题 字符"/>
    <w:basedOn w:val="21"/>
    <w:link w:val="178"/>
    <w:qFormat/>
    <w:uiPriority w:val="0"/>
    <w:rPr>
      <w:rFonts w:ascii="宋体" w:hAnsi="宋体" w:eastAsia="宋体"/>
      <w:kern w:val="2"/>
      <w:sz w:val="21"/>
      <w:szCs w:val="22"/>
    </w:rPr>
  </w:style>
  <w:style w:type="paragraph" w:customStyle="1" w:styleId="180">
    <w:name w:val="标准文件_附录五级无标题"/>
    <w:basedOn w:val="170"/>
    <w:link w:val="181"/>
    <w:qFormat/>
    <w:uiPriority w:val="0"/>
    <w:pPr>
      <w:spacing w:beforeLines="0" w:afterLines="0" w:line="276" w:lineRule="auto"/>
    </w:pPr>
    <w:rPr>
      <w:rFonts w:ascii="宋体" w:hAnsi="宋体" w:eastAsia="宋体"/>
    </w:rPr>
  </w:style>
  <w:style w:type="character" w:customStyle="1" w:styleId="181">
    <w:name w:val="标准文件_附录五级无标题 字符"/>
    <w:basedOn w:val="21"/>
    <w:link w:val="180"/>
    <w:qFormat/>
    <w:uiPriority w:val="0"/>
    <w:rPr>
      <w:rFonts w:ascii="宋体" w:hAnsi="宋体" w:eastAsia="宋体"/>
      <w:kern w:val="2"/>
      <w:sz w:val="21"/>
      <w:szCs w:val="22"/>
    </w:rPr>
  </w:style>
  <w:style w:type="paragraph" w:customStyle="1" w:styleId="182">
    <w:name w:val="附录图标号"/>
    <w:basedOn w:val="26"/>
    <w:next w:val="26"/>
    <w:link w:val="183"/>
    <w:qFormat/>
    <w:uiPriority w:val="0"/>
    <w:pPr>
      <w:spacing w:line="14" w:lineRule="exact"/>
      <w:ind w:left="425" w:firstLine="0" w:firstLineChars="0"/>
      <w:jc w:val="center"/>
    </w:pPr>
    <w:rPr>
      <w:sz w:val="2"/>
    </w:rPr>
  </w:style>
  <w:style w:type="character" w:customStyle="1" w:styleId="183">
    <w:name w:val="附录图标号 字符"/>
    <w:basedOn w:val="21"/>
    <w:link w:val="182"/>
    <w:qFormat/>
    <w:uiPriority w:val="0"/>
    <w:rPr>
      <w:rFonts w:ascii="宋体" w:hAnsi="Times New Roman" w:eastAsia="宋体"/>
      <w:sz w:val="2"/>
    </w:rPr>
  </w:style>
  <w:style w:type="paragraph" w:customStyle="1" w:styleId="184">
    <w:name w:val="附录图标题"/>
    <w:next w:val="26"/>
    <w:link w:val="185"/>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5">
    <w:name w:val="附录图标题 字符"/>
    <w:basedOn w:val="21"/>
    <w:link w:val="184"/>
    <w:qFormat/>
    <w:uiPriority w:val="0"/>
    <w:rPr>
      <w:rFonts w:ascii="黑体" w:hAnsi="黑体" w:eastAsia="黑体"/>
    </w:rPr>
  </w:style>
  <w:style w:type="paragraph" w:customStyle="1" w:styleId="186">
    <w:name w:val="附录表标号"/>
    <w:basedOn w:val="26"/>
    <w:next w:val="26"/>
    <w:link w:val="187"/>
    <w:qFormat/>
    <w:uiPriority w:val="0"/>
    <w:pPr>
      <w:spacing w:line="14" w:lineRule="exact"/>
      <w:ind w:left="425" w:firstLine="0" w:firstLineChars="0"/>
      <w:jc w:val="center"/>
    </w:pPr>
    <w:rPr>
      <w:sz w:val="2"/>
    </w:rPr>
  </w:style>
  <w:style w:type="character" w:customStyle="1" w:styleId="187">
    <w:name w:val="附录表标号 字符"/>
    <w:basedOn w:val="21"/>
    <w:link w:val="186"/>
    <w:qFormat/>
    <w:uiPriority w:val="0"/>
    <w:rPr>
      <w:rFonts w:ascii="宋体" w:hAnsi="Times New Roman" w:eastAsia="宋体"/>
      <w:sz w:val="2"/>
    </w:rPr>
  </w:style>
  <w:style w:type="paragraph" w:customStyle="1" w:styleId="188">
    <w:name w:val="附录表标题"/>
    <w:next w:val="26"/>
    <w:link w:val="189"/>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9">
    <w:name w:val="附录表标题 字符"/>
    <w:basedOn w:val="21"/>
    <w:link w:val="188"/>
    <w:qFormat/>
    <w:uiPriority w:val="0"/>
    <w:rPr>
      <w:rFonts w:ascii="黑体" w:hAnsi="黑体" w:eastAsia="黑体"/>
    </w:rPr>
  </w:style>
  <w:style w:type="paragraph" w:customStyle="1" w:styleId="190">
    <w:name w:val="标准文件_示例内容"/>
    <w:basedOn w:val="26"/>
    <w:link w:val="191"/>
    <w:qFormat/>
    <w:uiPriority w:val="0"/>
    <w:pPr>
      <w:ind w:firstLine="200"/>
    </w:pPr>
    <w:rPr>
      <w:rFonts w:hAnsi="宋体"/>
      <w:sz w:val="18"/>
    </w:rPr>
  </w:style>
  <w:style w:type="character" w:customStyle="1" w:styleId="191">
    <w:name w:val="标准文件_示例内容 字符"/>
    <w:basedOn w:val="21"/>
    <w:link w:val="190"/>
    <w:qFormat/>
    <w:uiPriority w:val="0"/>
    <w:rPr>
      <w:rFonts w:ascii="宋体" w:hAnsi="宋体" w:eastAsia="宋体"/>
      <w:kern w:val="0"/>
      <w:sz w:val="18"/>
    </w:rPr>
  </w:style>
  <w:style w:type="paragraph" w:customStyle="1" w:styleId="192">
    <w:name w:val="标准文件_示例"/>
    <w:next w:val="190"/>
    <w:link w:val="193"/>
    <w:qFormat/>
    <w:uiPriority w:val="0"/>
    <w:pPr>
      <w:ind w:firstLine="363"/>
      <w:jc w:val="both"/>
    </w:pPr>
    <w:rPr>
      <w:rFonts w:ascii="宋体" w:hAnsi="宋体" w:eastAsia="宋体" w:cstheme="minorBidi"/>
      <w:kern w:val="2"/>
      <w:sz w:val="18"/>
      <w:szCs w:val="22"/>
      <w:lang w:val="en-US" w:eastAsia="zh-CN" w:bidi="ar-SA"/>
    </w:rPr>
  </w:style>
  <w:style w:type="character" w:customStyle="1" w:styleId="193">
    <w:name w:val="标准文件_示例 字符"/>
    <w:basedOn w:val="21"/>
    <w:link w:val="192"/>
    <w:qFormat/>
    <w:uiPriority w:val="0"/>
    <w:rPr>
      <w:rFonts w:ascii="宋体" w:hAnsi="宋体" w:eastAsia="宋体"/>
      <w:sz w:val="18"/>
    </w:rPr>
  </w:style>
  <w:style w:type="paragraph" w:customStyle="1" w:styleId="194">
    <w:name w:val="标准文件_示例×"/>
    <w:basedOn w:val="1"/>
    <w:next w:val="190"/>
    <w:link w:val="195"/>
    <w:qFormat/>
    <w:uiPriority w:val="0"/>
    <w:pPr>
      <w:widowControl/>
      <w:ind w:firstLine="363"/>
    </w:pPr>
    <w:rPr>
      <w:rFonts w:hAnsi="宋体"/>
      <w:sz w:val="18"/>
    </w:rPr>
  </w:style>
  <w:style w:type="character" w:customStyle="1" w:styleId="195">
    <w:name w:val="标准文件_示例× 字符"/>
    <w:basedOn w:val="21"/>
    <w:link w:val="194"/>
    <w:qFormat/>
    <w:uiPriority w:val="0"/>
    <w:rPr>
      <w:rFonts w:ascii="宋体" w:hAnsi="宋体" w:eastAsia="宋体"/>
      <w:sz w:val="18"/>
    </w:rPr>
  </w:style>
  <w:style w:type="paragraph" w:customStyle="1" w:styleId="196">
    <w:name w:val="标准文件_注"/>
    <w:next w:val="26"/>
    <w:link w:val="197"/>
    <w:qFormat/>
    <w:uiPriority w:val="0"/>
    <w:pPr>
      <w:numPr>
        <w:ilvl w:val="0"/>
        <w:numId w:val="1"/>
      </w:numPr>
      <w:autoSpaceDE w:val="0"/>
      <w:autoSpaceDN w:val="0"/>
      <w:jc w:val="both"/>
    </w:pPr>
    <w:rPr>
      <w:rFonts w:ascii="宋体" w:hAnsi="宋体" w:eastAsia="宋体" w:cstheme="minorBidi"/>
      <w:sz w:val="18"/>
      <w:lang w:val="en-US" w:eastAsia="zh-CN" w:bidi="ar-SA"/>
    </w:rPr>
  </w:style>
  <w:style w:type="character" w:customStyle="1" w:styleId="197">
    <w:name w:val="标准文件_注 字符"/>
    <w:basedOn w:val="21"/>
    <w:link w:val="196"/>
    <w:qFormat/>
    <w:uiPriority w:val="0"/>
    <w:rPr>
      <w:rFonts w:ascii="宋体" w:hAnsi="宋体" w:eastAsia="宋体"/>
      <w:sz w:val="18"/>
    </w:rPr>
  </w:style>
  <w:style w:type="paragraph" w:customStyle="1" w:styleId="198">
    <w:name w:val="标准文件_注×"/>
    <w:next w:val="26"/>
    <w:link w:val="199"/>
    <w:qFormat/>
    <w:uiPriority w:val="0"/>
    <w:pPr>
      <w:numPr>
        <w:ilvl w:val="0"/>
        <w:numId w:val="15"/>
      </w:numPr>
      <w:jc w:val="both"/>
    </w:pPr>
    <w:rPr>
      <w:rFonts w:ascii="宋体" w:hAnsi="宋体" w:eastAsia="宋体" w:cstheme="minorBidi"/>
      <w:sz w:val="18"/>
      <w:lang w:val="en-US" w:eastAsia="zh-CN" w:bidi="ar-SA"/>
    </w:rPr>
  </w:style>
  <w:style w:type="character" w:customStyle="1" w:styleId="199">
    <w:name w:val="标准文件_注× 字符"/>
    <w:basedOn w:val="21"/>
    <w:link w:val="198"/>
    <w:qFormat/>
    <w:uiPriority w:val="0"/>
    <w:rPr>
      <w:rFonts w:ascii="宋体" w:hAnsi="宋体" w:eastAsia="宋体"/>
      <w:sz w:val="18"/>
    </w:rPr>
  </w:style>
  <w:style w:type="character" w:customStyle="1" w:styleId="200">
    <w:name w:val="脚注文本 Char"/>
    <w:basedOn w:val="21"/>
    <w:link w:val="16"/>
    <w:semiHidden/>
    <w:qFormat/>
    <w:uiPriority w:val="99"/>
    <w:rPr>
      <w:rFonts w:ascii="宋体" w:hAnsi="宋体" w:eastAsia="宋体"/>
      <w:sz w:val="15"/>
      <w:szCs w:val="18"/>
    </w:rPr>
  </w:style>
  <w:style w:type="paragraph" w:customStyle="1" w:styleId="201">
    <w:name w:val="标准文件_图表脚注"/>
    <w:basedOn w:val="1"/>
    <w:next w:val="26"/>
    <w:link w:val="202"/>
    <w:qFormat/>
    <w:uiPriority w:val="0"/>
    <w:pPr>
      <w:adjustRightInd w:val="0"/>
      <w:ind w:left="539" w:hanging="119"/>
      <w:jc w:val="left"/>
    </w:pPr>
    <w:rPr>
      <w:rFonts w:hAnsi="宋体"/>
      <w:sz w:val="18"/>
    </w:rPr>
  </w:style>
  <w:style w:type="character" w:customStyle="1" w:styleId="202">
    <w:name w:val="标准文件_图表脚注 字符"/>
    <w:basedOn w:val="21"/>
    <w:link w:val="201"/>
    <w:qFormat/>
    <w:uiPriority w:val="0"/>
    <w:rPr>
      <w:rFonts w:ascii="宋体" w:hAnsi="宋体" w:eastAsia="宋体"/>
      <w:sz w:val="18"/>
    </w:rPr>
  </w:style>
  <w:style w:type="paragraph" w:customStyle="1" w:styleId="203">
    <w:name w:val="标准文件_标准正文"/>
    <w:basedOn w:val="1"/>
    <w:next w:val="26"/>
    <w:link w:val="204"/>
    <w:qFormat/>
    <w:uiPriority w:val="0"/>
    <w:pPr>
      <w:ind w:firstLine="200" w:firstLineChars="200"/>
    </w:pPr>
  </w:style>
  <w:style w:type="character" w:customStyle="1" w:styleId="204">
    <w:name w:val="标准文件_标准正文 字符"/>
    <w:basedOn w:val="21"/>
    <w:link w:val="203"/>
    <w:qFormat/>
    <w:uiPriority w:val="0"/>
    <w:rPr>
      <w:rFonts w:ascii="宋体" w:hAnsi="Times New Roman" w:eastAsia="宋体"/>
    </w:rPr>
  </w:style>
  <w:style w:type="paragraph" w:customStyle="1" w:styleId="205">
    <w:name w:val="标准文件_正文公式"/>
    <w:basedOn w:val="1"/>
    <w:next w:val="203"/>
    <w:link w:val="206"/>
    <w:qFormat/>
    <w:uiPriority w:val="0"/>
    <w:pPr>
      <w:tabs>
        <w:tab w:val="center" w:pos="4677"/>
        <w:tab w:val="right" w:leader="middleDot" w:pos="9354"/>
      </w:tabs>
    </w:pPr>
  </w:style>
  <w:style w:type="character" w:customStyle="1" w:styleId="206">
    <w:name w:val="标准文件_正文公式 字符"/>
    <w:basedOn w:val="21"/>
    <w:link w:val="205"/>
    <w:qFormat/>
    <w:uiPriority w:val="0"/>
    <w:rPr>
      <w:rFonts w:ascii="宋体" w:hAnsi="Times New Roman" w:eastAsia="宋体"/>
    </w:rPr>
  </w:style>
  <w:style w:type="paragraph" w:customStyle="1" w:styleId="207">
    <w:name w:val="标准文件_表格"/>
    <w:basedOn w:val="26"/>
    <w:link w:val="208"/>
    <w:qFormat/>
    <w:uiPriority w:val="0"/>
    <w:pPr>
      <w:ind w:firstLine="0"/>
      <w:jc w:val="center"/>
    </w:pPr>
    <w:rPr>
      <w:sz w:val="18"/>
    </w:rPr>
  </w:style>
  <w:style w:type="character" w:customStyle="1" w:styleId="208">
    <w:name w:val="标准文件_表格 字符"/>
    <w:basedOn w:val="21"/>
    <w:link w:val="207"/>
    <w:qFormat/>
    <w:uiPriority w:val="0"/>
    <w:rPr>
      <w:rFonts w:ascii="宋体" w:hAnsi="Times New Roman" w:eastAsia="宋体"/>
      <w:sz w:val="18"/>
    </w:rPr>
  </w:style>
  <w:style w:type="paragraph" w:customStyle="1" w:styleId="209">
    <w:name w:val="终结线"/>
    <w:basedOn w:val="1"/>
    <w:link w:val="210"/>
    <w:qFormat/>
    <w:uiPriority w:val="0"/>
    <w:pPr>
      <w:framePr w:hSpace="181" w:vSpace="181" w:wrap="around" w:vAnchor="text" w:hAnchor="margin" w:xAlign="center" w:y="284"/>
    </w:pPr>
    <w:rPr>
      <w:rFonts w:ascii="Times New Roman" w:cs="Times New Roman"/>
      <w:b/>
      <w:sz w:val="34"/>
    </w:rPr>
  </w:style>
  <w:style w:type="character" w:customStyle="1" w:styleId="210">
    <w:name w:val="终结线 字符"/>
    <w:basedOn w:val="21"/>
    <w:link w:val="209"/>
    <w:qFormat/>
    <w:uiPriority w:val="0"/>
    <w:rPr>
      <w:rFonts w:ascii="Times New Roman" w:hAnsi="Times New Roman" w:eastAsia="宋体" w:cs="Times New Roman"/>
      <w:b/>
      <w:sz w:val="34"/>
    </w:rPr>
  </w:style>
  <w:style w:type="paragraph" w:customStyle="1" w:styleId="211">
    <w:name w:val="标准文件_正文表标题"/>
    <w:next w:val="26"/>
    <w:link w:val="212"/>
    <w:qFormat/>
    <w:uiPriority w:val="0"/>
    <w:pPr>
      <w:numPr>
        <w:ilvl w:val="0"/>
        <w:numId w:val="16"/>
      </w:numPr>
      <w:spacing w:beforeLines="50" w:afterLines="50"/>
      <w:jc w:val="center"/>
    </w:pPr>
    <w:rPr>
      <w:rFonts w:ascii="黑体" w:hAnsi="黑体" w:eastAsia="黑体" w:cstheme="minorBidi"/>
      <w:sz w:val="21"/>
      <w:lang w:val="en-US" w:eastAsia="zh-CN" w:bidi="ar-SA"/>
    </w:rPr>
  </w:style>
  <w:style w:type="character" w:customStyle="1" w:styleId="212">
    <w:name w:val="标准文件_正文表标题 字符"/>
    <w:basedOn w:val="21"/>
    <w:link w:val="211"/>
    <w:qFormat/>
    <w:uiPriority w:val="0"/>
    <w:rPr>
      <w:rFonts w:ascii="黑体" w:hAnsi="黑体" w:eastAsia="黑体"/>
      <w:sz w:val="21"/>
    </w:rPr>
  </w:style>
  <w:style w:type="paragraph" w:customStyle="1" w:styleId="213">
    <w:name w:val="标准文件_正文图标题"/>
    <w:next w:val="26"/>
    <w:link w:val="214"/>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214">
    <w:name w:val="标准文件_正文图标题 字符"/>
    <w:basedOn w:val="21"/>
    <w:link w:val="213"/>
    <w:qFormat/>
    <w:uiPriority w:val="0"/>
    <w:rPr>
      <w:rFonts w:ascii="黑体" w:hAnsi="黑体" w:eastAsia="黑体"/>
    </w:rPr>
  </w:style>
  <w:style w:type="paragraph" w:customStyle="1" w:styleId="215">
    <w:name w:val="目录 11"/>
    <w:basedOn w:val="1"/>
    <w:link w:val="216"/>
    <w:qFormat/>
    <w:uiPriority w:val="0"/>
    <w:pPr>
      <w:spacing w:line="400" w:lineRule="exact"/>
    </w:pPr>
    <w:rPr>
      <w:rFonts w:hAnsi="宋体"/>
    </w:rPr>
  </w:style>
  <w:style w:type="character" w:customStyle="1" w:styleId="216">
    <w:name w:val="目录 1 字符"/>
    <w:basedOn w:val="21"/>
    <w:link w:val="215"/>
    <w:qFormat/>
    <w:uiPriority w:val="0"/>
    <w:rPr>
      <w:rFonts w:ascii="宋体" w:hAnsi="宋体" w:eastAsia="宋体"/>
    </w:rPr>
  </w:style>
  <w:style w:type="paragraph" w:customStyle="1" w:styleId="217">
    <w:name w:val="目录 21"/>
    <w:basedOn w:val="1"/>
    <w:link w:val="218"/>
    <w:qFormat/>
    <w:uiPriority w:val="0"/>
    <w:pPr>
      <w:spacing w:line="300" w:lineRule="exact"/>
    </w:pPr>
    <w:rPr>
      <w:rFonts w:hAnsi="宋体"/>
    </w:rPr>
  </w:style>
  <w:style w:type="character" w:customStyle="1" w:styleId="218">
    <w:name w:val="目录 2 字符"/>
    <w:basedOn w:val="21"/>
    <w:link w:val="217"/>
    <w:qFormat/>
    <w:uiPriority w:val="0"/>
    <w:rPr>
      <w:rFonts w:ascii="宋体" w:hAnsi="宋体" w:eastAsia="宋体"/>
    </w:rPr>
  </w:style>
  <w:style w:type="paragraph" w:customStyle="1" w:styleId="219">
    <w:name w:val="目录 31"/>
    <w:basedOn w:val="1"/>
    <w:link w:val="220"/>
    <w:qFormat/>
    <w:uiPriority w:val="0"/>
    <w:pPr>
      <w:spacing w:line="300" w:lineRule="exact"/>
    </w:pPr>
    <w:rPr>
      <w:rFonts w:hAnsi="宋体"/>
    </w:rPr>
  </w:style>
  <w:style w:type="character" w:customStyle="1" w:styleId="220">
    <w:name w:val="目录 3 字符"/>
    <w:basedOn w:val="21"/>
    <w:link w:val="219"/>
    <w:qFormat/>
    <w:uiPriority w:val="0"/>
    <w:rPr>
      <w:rFonts w:ascii="宋体" w:hAnsi="宋体" w:eastAsia="宋体"/>
    </w:rPr>
  </w:style>
  <w:style w:type="paragraph" w:customStyle="1" w:styleId="221">
    <w:name w:val="目录 41"/>
    <w:basedOn w:val="1"/>
    <w:link w:val="222"/>
    <w:qFormat/>
    <w:uiPriority w:val="0"/>
    <w:pPr>
      <w:spacing w:line="300" w:lineRule="exact"/>
    </w:pPr>
    <w:rPr>
      <w:rFonts w:hAnsi="宋体"/>
    </w:rPr>
  </w:style>
  <w:style w:type="character" w:customStyle="1" w:styleId="222">
    <w:name w:val="目录 4 字符"/>
    <w:basedOn w:val="21"/>
    <w:link w:val="221"/>
    <w:qFormat/>
    <w:uiPriority w:val="0"/>
    <w:rPr>
      <w:rFonts w:ascii="宋体" w:hAnsi="宋体" w:eastAsia="宋体"/>
    </w:rPr>
  </w:style>
  <w:style w:type="paragraph" w:customStyle="1" w:styleId="223">
    <w:name w:val="目录 51"/>
    <w:basedOn w:val="1"/>
    <w:link w:val="224"/>
    <w:qFormat/>
    <w:uiPriority w:val="0"/>
    <w:pPr>
      <w:spacing w:line="300" w:lineRule="exact"/>
    </w:pPr>
    <w:rPr>
      <w:rFonts w:hAnsi="宋体"/>
    </w:rPr>
  </w:style>
  <w:style w:type="character" w:customStyle="1" w:styleId="224">
    <w:name w:val="目录 5 字符"/>
    <w:basedOn w:val="21"/>
    <w:link w:val="223"/>
    <w:qFormat/>
    <w:uiPriority w:val="0"/>
    <w:rPr>
      <w:rFonts w:ascii="宋体" w:hAnsi="宋体" w:eastAsia="宋体"/>
    </w:rPr>
  </w:style>
  <w:style w:type="paragraph" w:customStyle="1" w:styleId="225">
    <w:name w:val="目录 61"/>
    <w:basedOn w:val="1"/>
    <w:link w:val="226"/>
    <w:qFormat/>
    <w:uiPriority w:val="0"/>
    <w:pPr>
      <w:spacing w:line="300" w:lineRule="exact"/>
    </w:pPr>
    <w:rPr>
      <w:rFonts w:hAnsi="宋体"/>
    </w:rPr>
  </w:style>
  <w:style w:type="character" w:customStyle="1" w:styleId="226">
    <w:name w:val="目录 6 字符"/>
    <w:basedOn w:val="21"/>
    <w:link w:val="225"/>
    <w:qFormat/>
    <w:uiPriority w:val="0"/>
    <w:rPr>
      <w:rFonts w:ascii="宋体" w:hAnsi="宋体" w:eastAsia="宋体"/>
    </w:rPr>
  </w:style>
  <w:style w:type="paragraph" w:customStyle="1" w:styleId="227">
    <w:name w:val="标准文件_索引标题"/>
    <w:basedOn w:val="44"/>
    <w:next w:val="26"/>
    <w:link w:val="228"/>
    <w:qFormat/>
    <w:uiPriority w:val="0"/>
    <w:rPr>
      <w:rFonts w:hAnsi="黑体"/>
    </w:rPr>
  </w:style>
  <w:style w:type="character" w:customStyle="1" w:styleId="228">
    <w:name w:val="标准文件_索引标题 字符"/>
    <w:basedOn w:val="21"/>
    <w:link w:val="227"/>
    <w:qFormat/>
    <w:uiPriority w:val="0"/>
    <w:rPr>
      <w:rFonts w:ascii="黑体" w:hAnsi="黑体" w:eastAsia="黑体"/>
      <w:kern w:val="0"/>
    </w:rPr>
  </w:style>
  <w:style w:type="paragraph" w:customStyle="1" w:styleId="229">
    <w:name w:val="标准文件_索引项"/>
    <w:basedOn w:val="26"/>
    <w:next w:val="26"/>
    <w:link w:val="230"/>
    <w:qFormat/>
    <w:uiPriority w:val="0"/>
    <w:pPr>
      <w:tabs>
        <w:tab w:val="right" w:leader="dot" w:pos="9354"/>
      </w:tabs>
      <w:autoSpaceDE w:val="0"/>
      <w:autoSpaceDN w:val="0"/>
      <w:ind w:hanging="210" w:hangingChars="37"/>
      <w:jc w:val="left"/>
    </w:pPr>
  </w:style>
  <w:style w:type="character" w:customStyle="1" w:styleId="230">
    <w:name w:val="标准文件_索引项 字符"/>
    <w:basedOn w:val="21"/>
    <w:link w:val="229"/>
    <w:qFormat/>
    <w:uiPriority w:val="0"/>
    <w:rPr>
      <w:rFonts w:ascii="宋体" w:hAnsi="Times New Roman" w:eastAsia="宋体"/>
    </w:rPr>
  </w:style>
  <w:style w:type="paragraph" w:customStyle="1" w:styleId="231">
    <w:name w:val="标准文件_索引字母"/>
    <w:next w:val="26"/>
    <w:link w:val="232"/>
    <w:qFormat/>
    <w:uiPriority w:val="0"/>
    <w:pPr>
      <w:jc w:val="center"/>
    </w:pPr>
    <w:rPr>
      <w:rFonts w:ascii="宋体" w:hAnsi="宋体" w:eastAsia="宋体" w:cstheme="minorBidi"/>
      <w:b/>
      <w:kern w:val="2"/>
      <w:sz w:val="21"/>
      <w:szCs w:val="22"/>
      <w:lang w:val="en-US" w:eastAsia="zh-CN" w:bidi="ar-SA"/>
    </w:rPr>
  </w:style>
  <w:style w:type="character" w:customStyle="1" w:styleId="232">
    <w:name w:val="标准文件_索引字母 字符"/>
    <w:basedOn w:val="21"/>
    <w:link w:val="231"/>
    <w:qFormat/>
    <w:uiPriority w:val="0"/>
    <w:rPr>
      <w:rFonts w:ascii="宋体" w:hAnsi="宋体" w:eastAsia="宋体"/>
      <w:b/>
    </w:rPr>
  </w:style>
  <w:style w:type="paragraph" w:customStyle="1" w:styleId="233">
    <w:name w:val="标准文件_提示"/>
    <w:basedOn w:val="1"/>
    <w:link w:val="234"/>
    <w:qFormat/>
    <w:uiPriority w:val="0"/>
    <w:pPr>
      <w:ind w:firstLine="198" w:firstLineChars="200"/>
    </w:pPr>
    <w:rPr>
      <w:rFonts w:ascii="黑体" w:hAnsi="黑体" w:eastAsia="黑体"/>
    </w:rPr>
  </w:style>
  <w:style w:type="character" w:customStyle="1" w:styleId="234">
    <w:name w:val="标准文件_提示 字符"/>
    <w:basedOn w:val="21"/>
    <w:link w:val="233"/>
    <w:qFormat/>
    <w:uiPriority w:val="0"/>
    <w:rPr>
      <w:rFonts w:ascii="黑体" w:hAnsi="黑体" w:eastAsia="黑体"/>
    </w:rPr>
  </w:style>
  <w:style w:type="character" w:customStyle="1" w:styleId="235">
    <w:name w:val="页眉 Char"/>
    <w:basedOn w:val="21"/>
    <w:link w:val="15"/>
    <w:qFormat/>
    <w:uiPriority w:val="99"/>
    <w:rPr>
      <w:rFonts w:ascii="宋体" w:hAnsi="Times New Roman" w:eastAsia="宋体"/>
      <w:sz w:val="18"/>
      <w:szCs w:val="18"/>
    </w:rPr>
  </w:style>
  <w:style w:type="character" w:customStyle="1" w:styleId="236">
    <w:name w:val="页脚 Char"/>
    <w:basedOn w:val="21"/>
    <w:link w:val="14"/>
    <w:qFormat/>
    <w:uiPriority w:val="99"/>
    <w:rPr>
      <w:rFonts w:ascii="宋体" w:hAnsi="Times New Roman" w:eastAsia="宋体"/>
      <w:sz w:val="18"/>
      <w:szCs w:val="18"/>
    </w:rPr>
  </w:style>
  <w:style w:type="paragraph" w:customStyle="1" w:styleId="237">
    <w:name w:val="列表段落1"/>
    <w:basedOn w:val="1"/>
    <w:qFormat/>
    <w:uiPriority w:val="34"/>
    <w:pPr>
      <w:ind w:firstLine="420" w:firstLineChars="200"/>
    </w:pPr>
  </w:style>
  <w:style w:type="paragraph" w:customStyle="1" w:styleId="238">
    <w:name w:val="标准文件_参考文献编号"/>
    <w:basedOn w:val="26"/>
    <w:qFormat/>
    <w:uiPriority w:val="0"/>
    <w:pPr>
      <w:numPr>
        <w:ilvl w:val="0"/>
        <w:numId w:val="17"/>
      </w:numPr>
    </w:pPr>
  </w:style>
  <w:style w:type="character" w:customStyle="1" w:styleId="239">
    <w:name w:val="占位符文本1"/>
    <w:basedOn w:val="21"/>
    <w:semiHidden/>
    <w:qFormat/>
    <w:uiPriority w:val="99"/>
    <w:rPr>
      <w:color w:val="808080"/>
    </w:rPr>
  </w:style>
  <w:style w:type="paragraph" w:customStyle="1" w:styleId="240">
    <w:name w:val="段"/>
    <w:link w:val="24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41">
    <w:name w:val="段 Char"/>
    <w:basedOn w:val="21"/>
    <w:link w:val="240"/>
    <w:qFormat/>
    <w:uiPriority w:val="0"/>
    <w:rPr>
      <w:rFonts w:ascii="宋体" w:hAnsi="Times New Roman" w:eastAsia="宋体" w:cs="Times New Roman"/>
      <w:sz w:val="21"/>
    </w:rPr>
  </w:style>
  <w:style w:type="paragraph" w:customStyle="1" w:styleId="242">
    <w:name w:val="一级条标题"/>
    <w:next w:val="240"/>
    <w:qFormat/>
    <w:uiPriority w:val="0"/>
    <w:pPr>
      <w:numPr>
        <w:ilvl w:val="1"/>
        <w:numId w:val="18"/>
      </w:numPr>
      <w:spacing w:beforeLines="50" w:afterLines="50"/>
      <w:outlineLvl w:val="2"/>
    </w:pPr>
    <w:rPr>
      <w:rFonts w:ascii="黑体" w:hAnsi="Times New Roman" w:eastAsia="黑体" w:cs="Times New Roman"/>
      <w:sz w:val="21"/>
      <w:szCs w:val="21"/>
      <w:lang w:val="en-US" w:eastAsia="zh-CN" w:bidi="ar-SA"/>
    </w:rPr>
  </w:style>
  <w:style w:type="paragraph" w:customStyle="1" w:styleId="243">
    <w:name w:val="章标题"/>
    <w:next w:val="240"/>
    <w:qFormat/>
    <w:uiPriority w:val="0"/>
    <w:pPr>
      <w:numPr>
        <w:ilvl w:val="0"/>
        <w:numId w:val="18"/>
      </w:numPr>
      <w:spacing w:beforeLines="100" w:afterLines="100"/>
      <w:jc w:val="both"/>
      <w:outlineLvl w:val="1"/>
    </w:pPr>
    <w:rPr>
      <w:rFonts w:ascii="黑体" w:hAnsi="Times New Roman" w:eastAsia="黑体" w:cs="Times New Roman"/>
      <w:sz w:val="21"/>
      <w:lang w:val="en-US" w:eastAsia="zh-CN" w:bidi="ar-SA"/>
    </w:rPr>
  </w:style>
  <w:style w:type="paragraph" w:customStyle="1" w:styleId="244">
    <w:name w:val="二级条标题"/>
    <w:basedOn w:val="242"/>
    <w:next w:val="240"/>
    <w:qFormat/>
    <w:uiPriority w:val="0"/>
    <w:pPr>
      <w:numPr>
        <w:ilvl w:val="2"/>
      </w:numPr>
      <w:spacing w:before="50" w:after="50"/>
      <w:outlineLvl w:val="3"/>
    </w:pPr>
  </w:style>
  <w:style w:type="paragraph" w:customStyle="1" w:styleId="245">
    <w:name w:val="三级条标题"/>
    <w:basedOn w:val="244"/>
    <w:next w:val="240"/>
    <w:qFormat/>
    <w:uiPriority w:val="0"/>
    <w:pPr>
      <w:numPr>
        <w:ilvl w:val="3"/>
      </w:numPr>
      <w:outlineLvl w:val="4"/>
    </w:pPr>
  </w:style>
  <w:style w:type="paragraph" w:customStyle="1" w:styleId="246">
    <w:name w:val="数字编号列项（二级）"/>
    <w:qFormat/>
    <w:uiPriority w:val="0"/>
    <w:pPr>
      <w:numPr>
        <w:ilvl w:val="1"/>
        <w:numId w:val="19"/>
      </w:numPr>
      <w:jc w:val="both"/>
    </w:pPr>
    <w:rPr>
      <w:rFonts w:ascii="宋体" w:hAnsi="Times New Roman" w:eastAsia="宋体" w:cs="Times New Roman"/>
      <w:sz w:val="21"/>
      <w:lang w:val="en-US" w:eastAsia="zh-CN" w:bidi="ar-SA"/>
    </w:rPr>
  </w:style>
  <w:style w:type="paragraph" w:customStyle="1" w:styleId="247">
    <w:name w:val="四级条标题"/>
    <w:basedOn w:val="245"/>
    <w:next w:val="240"/>
    <w:qFormat/>
    <w:uiPriority w:val="0"/>
    <w:pPr>
      <w:numPr>
        <w:ilvl w:val="4"/>
      </w:numPr>
      <w:outlineLvl w:val="5"/>
    </w:pPr>
  </w:style>
  <w:style w:type="paragraph" w:customStyle="1" w:styleId="248">
    <w:name w:val="五级条标题"/>
    <w:basedOn w:val="247"/>
    <w:next w:val="240"/>
    <w:qFormat/>
    <w:uiPriority w:val="0"/>
    <w:pPr>
      <w:numPr>
        <w:ilvl w:val="5"/>
      </w:numPr>
      <w:outlineLvl w:val="6"/>
    </w:pPr>
  </w:style>
  <w:style w:type="paragraph" w:customStyle="1" w:styleId="249">
    <w:name w:val="字母编号列项（一级）"/>
    <w:qFormat/>
    <w:uiPriority w:val="0"/>
    <w:pPr>
      <w:numPr>
        <w:ilvl w:val="0"/>
        <w:numId w:val="19"/>
      </w:numPr>
      <w:jc w:val="both"/>
    </w:pPr>
    <w:rPr>
      <w:rFonts w:ascii="宋体" w:hAnsi="Times New Roman" w:eastAsia="宋体" w:cs="Times New Roman"/>
      <w:sz w:val="21"/>
      <w:lang w:val="en-US" w:eastAsia="zh-CN" w:bidi="ar-SA"/>
    </w:rPr>
  </w:style>
  <w:style w:type="paragraph" w:customStyle="1" w:styleId="250">
    <w:name w:val="编号列项（三级）"/>
    <w:qFormat/>
    <w:uiPriority w:val="0"/>
    <w:pPr>
      <w:numPr>
        <w:ilvl w:val="2"/>
        <w:numId w:val="19"/>
      </w:numPr>
    </w:pPr>
    <w:rPr>
      <w:rFonts w:ascii="宋体" w:hAnsi="Times New Roman" w:eastAsia="宋体" w:cs="Times New Roman"/>
      <w:sz w:val="21"/>
      <w:lang w:val="en-US" w:eastAsia="zh-CN" w:bidi="ar-SA"/>
    </w:rPr>
  </w:style>
  <w:style w:type="paragraph" w:customStyle="1" w:styleId="251">
    <w:name w:val="二级无"/>
    <w:basedOn w:val="244"/>
    <w:qFormat/>
    <w:uiPriority w:val="0"/>
    <w:pPr>
      <w:spacing w:beforeLines="0" w:afterLines="0"/>
    </w:pPr>
    <w:rPr>
      <w:rFonts w:ascii="宋体" w:eastAsia="宋体"/>
    </w:rPr>
  </w:style>
  <w:style w:type="paragraph" w:customStyle="1" w:styleId="252">
    <w:name w:val="注：（正文）"/>
    <w:basedOn w:val="1"/>
    <w:next w:val="240"/>
    <w:qFormat/>
    <w:uiPriority w:val="0"/>
    <w:pPr>
      <w:autoSpaceDE w:val="0"/>
      <w:autoSpaceDN w:val="0"/>
      <w:ind w:left="425" w:hanging="425"/>
    </w:pPr>
    <w:rPr>
      <w:rFonts w:cs="Times New Roman"/>
      <w:kern w:val="0"/>
      <w:sz w:val="18"/>
      <w:szCs w:val="18"/>
    </w:rPr>
  </w:style>
  <w:style w:type="paragraph" w:customStyle="1" w:styleId="253">
    <w:name w:val="正文表标题"/>
    <w:next w:val="240"/>
    <w:qFormat/>
    <w:uiPriority w:val="0"/>
    <w:pPr>
      <w:numPr>
        <w:ilvl w:val="0"/>
        <w:numId w:val="20"/>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54">
    <w:name w:val="正文图标题"/>
    <w:next w:val="240"/>
    <w:qFormat/>
    <w:uiPriority w:val="0"/>
    <w:pPr>
      <w:numPr>
        <w:ilvl w:val="0"/>
        <w:numId w:val="21"/>
      </w:num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255">
    <w:name w:val="正文文本 Char"/>
    <w:basedOn w:val="21"/>
    <w:link w:val="12"/>
    <w:qFormat/>
    <w:uiPriority w:val="0"/>
    <w:rPr>
      <w:rFonts w:ascii="宋体" w:hAnsi="宋体" w:eastAsia="宋体" w:cs="Times New Roman"/>
      <w:kern w:val="2"/>
      <w:sz w:val="24"/>
      <w:szCs w:val="24"/>
    </w:rPr>
  </w:style>
  <w:style w:type="paragraph" w:customStyle="1" w:styleId="256">
    <w:name w:val="修订1"/>
    <w:hidden/>
    <w:semiHidden/>
    <w:qFormat/>
    <w:uiPriority w:val="99"/>
    <w:rPr>
      <w:rFonts w:ascii="宋体" w:hAnsi="Times New Roman" w:eastAsia="宋体" w:cstheme="minorBidi"/>
      <w:kern w:val="2"/>
      <w:sz w:val="21"/>
      <w:szCs w:val="22"/>
      <w:lang w:val="en-US" w:eastAsia="zh-CN" w:bidi="ar-SA"/>
    </w:rPr>
  </w:style>
  <w:style w:type="character" w:customStyle="1" w:styleId="257">
    <w:name w:val="批注框文本 Char"/>
    <w:basedOn w:val="21"/>
    <w:link w:val="13"/>
    <w:semiHidden/>
    <w:qFormat/>
    <w:uiPriority w:val="99"/>
    <w:rPr>
      <w:rFonts w:ascii="宋体" w:hAnsi="Times New Roman" w:eastAsia="宋体"/>
      <w:kern w:val="2"/>
      <w:sz w:val="18"/>
      <w:szCs w:val="18"/>
    </w:rPr>
  </w:style>
  <w:style w:type="character" w:customStyle="1" w:styleId="258">
    <w:name w:val="未处理的提及1"/>
    <w:basedOn w:val="21"/>
    <w:unhideWhenUsed/>
    <w:qFormat/>
    <w:uiPriority w:val="99"/>
    <w:rPr>
      <w:color w:val="605E5C"/>
      <w:shd w:val="clear" w:color="auto" w:fill="E1DFDD"/>
    </w:rPr>
  </w:style>
  <w:style w:type="character" w:customStyle="1" w:styleId="259">
    <w:name w:val="未处理的提及2"/>
    <w:basedOn w:val="21"/>
    <w:unhideWhenUsed/>
    <w:qFormat/>
    <w:uiPriority w:val="99"/>
    <w:rPr>
      <w:color w:val="605E5C"/>
      <w:shd w:val="clear" w:color="auto" w:fill="E1DFDD"/>
    </w:rPr>
  </w:style>
  <w:style w:type="character" w:customStyle="1" w:styleId="260">
    <w:name w:val="标题 1 Char"/>
    <w:basedOn w:val="21"/>
    <w:link w:val="2"/>
    <w:qFormat/>
    <w:uiPriority w:val="0"/>
    <w:rPr>
      <w:rFonts w:ascii="宋体" w:hAnsi="Times New Roman" w:eastAsia="宋体"/>
      <w:b/>
      <w:bCs/>
      <w:kern w:val="44"/>
      <w:sz w:val="44"/>
      <w:szCs w:val="44"/>
    </w:rPr>
  </w:style>
  <w:style w:type="paragraph" w:customStyle="1" w:styleId="261">
    <w:name w:val="附录一级无"/>
    <w:qFormat/>
    <w:uiPriority w:val="0"/>
    <w:pPr>
      <w:numPr>
        <w:ilvl w:val="2"/>
        <w:numId w:val="22"/>
      </w:numPr>
      <w:wordWrap w:val="0"/>
      <w:overflowPunct w:val="0"/>
      <w:autoSpaceDE w:val="0"/>
      <w:autoSpaceDN w:val="0"/>
      <w:jc w:val="both"/>
      <w:outlineLvl w:val="2"/>
    </w:pPr>
    <w:rPr>
      <w:rFonts w:hint="eastAsia" w:ascii="宋体" w:hAnsi="Times New Roman" w:eastAsia="宋体" w:cs="Times New Roman"/>
      <w:kern w:val="21"/>
      <w:sz w:val="21"/>
      <w:szCs w:val="21"/>
      <w:lang w:val="en-US" w:eastAsia="zh-CN" w:bidi="ar-SA"/>
    </w:rPr>
  </w:style>
  <w:style w:type="paragraph" w:customStyle="1" w:styleId="262">
    <w:name w:val="标准文件_示例："/>
    <w:next w:val="190"/>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263">
    <w:name w:val="示例"/>
    <w:next w:val="264"/>
    <w:qFormat/>
    <w:uiPriority w:val="0"/>
    <w:pPr>
      <w:widowControl w:val="0"/>
      <w:numPr>
        <w:ilvl w:val="0"/>
        <w:numId w:val="23"/>
      </w:numPr>
      <w:jc w:val="both"/>
    </w:pPr>
    <w:rPr>
      <w:rFonts w:ascii="宋体" w:hAnsi="Times New Roman" w:eastAsia="宋体" w:cs="Times New Roman"/>
      <w:sz w:val="18"/>
      <w:szCs w:val="18"/>
      <w:lang w:val="en-US" w:eastAsia="zh-CN" w:bidi="ar-SA"/>
    </w:rPr>
  </w:style>
  <w:style w:type="paragraph" w:customStyle="1" w:styleId="264">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265">
    <w:name w:val="注："/>
    <w:next w:val="240"/>
    <w:qFormat/>
    <w:uiPriority w:val="0"/>
    <w:pPr>
      <w:widowControl w:val="0"/>
      <w:numPr>
        <w:ilvl w:val="0"/>
        <w:numId w:val="24"/>
      </w:numPr>
      <w:autoSpaceDE w:val="0"/>
      <w:autoSpaceDN w:val="0"/>
      <w:jc w:val="both"/>
    </w:pPr>
    <w:rPr>
      <w:rFonts w:ascii="宋体" w:hAnsi="Times New Roman" w:eastAsia="宋体" w:cs="Times New Roman"/>
      <w:sz w:val="18"/>
      <w:szCs w:val="18"/>
      <w:lang w:val="en-US" w:eastAsia="zh-CN" w:bidi="ar-SA"/>
    </w:rPr>
  </w:style>
  <w:style w:type="character" w:customStyle="1" w:styleId="266">
    <w:name w:val="批注文字 Char"/>
    <w:basedOn w:val="21"/>
    <w:link w:val="11"/>
    <w:qFormat/>
    <w:uiPriority w:val="99"/>
    <w:rPr>
      <w:rFonts w:ascii="宋体" w:cstheme="minorBidi"/>
      <w:kern w:val="2"/>
      <w:sz w:val="21"/>
      <w:szCs w:val="22"/>
    </w:rPr>
  </w:style>
  <w:style w:type="character" w:customStyle="1" w:styleId="267">
    <w:name w:val="批注主题 Char"/>
    <w:basedOn w:val="266"/>
    <w:link w:val="18"/>
    <w:semiHidden/>
    <w:qFormat/>
    <w:uiPriority w:val="99"/>
    <w:rPr>
      <w:rFonts w:ascii="宋体" w:cstheme="minorBidi"/>
      <w:b/>
      <w:bCs/>
      <w:kern w:val="2"/>
      <w:sz w:val="21"/>
      <w:szCs w:val="22"/>
    </w:rPr>
  </w:style>
  <w:style w:type="paragraph" w:styleId="268">
    <w:name w:val="List Paragraph"/>
    <w:basedOn w:val="1"/>
    <w:qFormat/>
    <w:uiPriority w:val="1"/>
    <w:pPr>
      <w:ind w:left="433" w:hanging="315"/>
    </w:pPr>
    <w:rPr>
      <w:rFonts w:ascii="黑体" w:hAnsi="黑体" w:eastAsia="黑体" w:cs="黑体"/>
      <w:lang w:val="en-US" w:eastAsia="zh-CN" w:bidi="ar-SA"/>
    </w:rPr>
  </w:style>
  <w:style w:type="paragraph" w:customStyle="1" w:styleId="269">
    <w:name w:val="Table Paragraph"/>
    <w:basedOn w:val="1"/>
    <w:qFormat/>
    <w:uiPriority w:val="1"/>
    <w:rPr>
      <w:rFonts w:ascii="宋体" w:hAnsi="宋体" w:eastAsia="宋体" w:cs="宋体"/>
      <w:lang w:val="en-US" w:eastAsia="zh-CN" w:bidi="ar-SA"/>
    </w:rPr>
  </w:style>
  <w:style w:type="paragraph" w:customStyle="1" w:styleId="270">
    <w:name w:val="标准文件_注×："/>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glossaryDocument" Target="glossary/document.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ses\Template\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93F6B516-89F0-4B27-A29C-4628536457BE}"/>
      </w:docPartPr>
      <w:docPartBody>
        <w:p>
          <w:r>
            <w:rPr>
              <w:rStyle w:val="4"/>
            </w:rPr>
            <w:t>单击或点击此处输入文字。</w:t>
          </w:r>
        </w:p>
      </w:docPartBody>
    </w:docPart>
    <w:docPart>
      <w:docPartPr>
        <w:name w:val="{f54aae95-16ef-49a3-8ead-eea41edd0eca}"/>
        <w:style w:val=""/>
        <w:category>
          <w:name w:val="常规"/>
          <w:gallery w:val="placeholder"/>
        </w:category>
        <w:types>
          <w:type w:val="bbPlcHdr"/>
        </w:types>
        <w:behaviors>
          <w:behavior w:val="content"/>
        </w:behaviors>
        <w:description w:val=""/>
        <w:guid w:val="{F54AAE95-16EF-49A3-8EAD-EEA41EDD0ECA}"/>
      </w:docPartPr>
      <w:docPartBody>
        <w:p>
          <w:pPr>
            <w:pStyle w:val="5"/>
          </w:pPr>
          <w:r>
            <w:rPr>
              <w:rStyle w:val="6"/>
              <w:rFonts w:hint="eastAsia"/>
            </w:rPr>
            <w:t>选择一项。</w:t>
          </w:r>
        </w:p>
      </w:docPartBody>
    </w:docPart>
    <w:docPart>
      <w:docPartPr>
        <w:name w:val="{ced0ed0e-d091-4f6d-acf0-bf437d82c533}"/>
        <w:style w:val=""/>
        <w:category>
          <w:name w:val="常规"/>
          <w:gallery w:val="placeholder"/>
        </w:category>
        <w:types>
          <w:type w:val="bbPlcHdr"/>
        </w:types>
        <w:behaviors>
          <w:behavior w:val="content"/>
        </w:behaviors>
        <w:description w:val=""/>
        <w:guid w:val="{CED0ED0E-D091-4F6D-ACF0-BF437D82C533}"/>
      </w:docPartPr>
      <w:docPartBody>
        <w:p>
          <w:r>
            <w:rPr>
              <w:rStyle w:val="4"/>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257A72"/>
    <w:rsid w:val="00020F79"/>
    <w:rsid w:val="000472FF"/>
    <w:rsid w:val="000913D7"/>
    <w:rsid w:val="000B1DCC"/>
    <w:rsid w:val="00107DCF"/>
    <w:rsid w:val="00150895"/>
    <w:rsid w:val="001F4A87"/>
    <w:rsid w:val="00200805"/>
    <w:rsid w:val="002051BC"/>
    <w:rsid w:val="00237224"/>
    <w:rsid w:val="00257A72"/>
    <w:rsid w:val="002D6AEB"/>
    <w:rsid w:val="002E326B"/>
    <w:rsid w:val="002E417D"/>
    <w:rsid w:val="00306777"/>
    <w:rsid w:val="00343315"/>
    <w:rsid w:val="0036122D"/>
    <w:rsid w:val="00363B07"/>
    <w:rsid w:val="003763D0"/>
    <w:rsid w:val="003834C7"/>
    <w:rsid w:val="004A45D2"/>
    <w:rsid w:val="005E4E75"/>
    <w:rsid w:val="006241C9"/>
    <w:rsid w:val="00650A60"/>
    <w:rsid w:val="0066736D"/>
    <w:rsid w:val="006C4EFC"/>
    <w:rsid w:val="007224B9"/>
    <w:rsid w:val="007255FA"/>
    <w:rsid w:val="007A400F"/>
    <w:rsid w:val="007E51B8"/>
    <w:rsid w:val="00864AD6"/>
    <w:rsid w:val="00867FC7"/>
    <w:rsid w:val="00891169"/>
    <w:rsid w:val="008C398A"/>
    <w:rsid w:val="00964F21"/>
    <w:rsid w:val="009D4185"/>
    <w:rsid w:val="00AE6AE7"/>
    <w:rsid w:val="00AF4572"/>
    <w:rsid w:val="00B57E51"/>
    <w:rsid w:val="00B815C8"/>
    <w:rsid w:val="00C21C8E"/>
    <w:rsid w:val="00CB5F86"/>
    <w:rsid w:val="00CC69AF"/>
    <w:rsid w:val="00CD72EB"/>
    <w:rsid w:val="00D022E4"/>
    <w:rsid w:val="00D31310"/>
    <w:rsid w:val="00D47D06"/>
    <w:rsid w:val="00D47D25"/>
    <w:rsid w:val="00E9517D"/>
    <w:rsid w:val="00EA44B2"/>
    <w:rsid w:val="00EA68E1"/>
    <w:rsid w:val="00ED42FE"/>
    <w:rsid w:val="00EF5588"/>
    <w:rsid w:val="00F046D9"/>
    <w:rsid w:val="00FA4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4">
    <w:name w:val="占位符文本1"/>
    <w:basedOn w:val="2"/>
    <w:semiHidden/>
    <w:qFormat/>
    <w:uiPriority w:val="99"/>
    <w:rPr>
      <w:color w:val="808080"/>
    </w:rPr>
  </w:style>
  <w:style w:type="paragraph" w:customStyle="1" w:styleId="5">
    <w:name w:val="883A04B961ED475C83C7A94AE48EC8E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customStyle="1" w:styleId="6">
    <w:name w:val="占位符文本11"/>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4C29F-9AEA-4F41-8C94-BFF08774274B}">
  <ds:schemaRefs/>
</ds:datastoreItem>
</file>

<file path=docProps/app.xml><?xml version="1.0" encoding="utf-8"?>
<Properties xmlns="http://schemas.openxmlformats.org/officeDocument/2006/extended-properties" xmlns:vt="http://schemas.openxmlformats.org/officeDocument/2006/docPropsVTypes">
  <Template>Template</Template>
  <Company>LG</Company>
  <Pages>12</Pages>
  <Words>921</Words>
  <Characters>5252</Characters>
  <Lines>43</Lines>
  <Paragraphs>12</Paragraphs>
  <TotalTime>0</TotalTime>
  <ScaleCrop>false</ScaleCrop>
  <LinksUpToDate>false</LinksUpToDate>
  <CharactersWithSpaces>6161</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2022-08-29T04:50:00Z</dcterms:created>
  <dc:creator>标准化分院</dc:creator>
  <cp:lastModifiedBy>冬雪</cp:lastModifiedBy>
  <cp:lastPrinted>2024-09-13T06:31:00Z</cp:lastPrinted>
  <dcterms:modified xsi:type="dcterms:W3CDTF">2025-04-28T07:09:25Z</dcterms:modified>
  <cp:revision>588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D01EB7797C0C414BBFD8E0343D085612_13</vt:lpwstr>
  </property>
</Properties>
</file>